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DAD" w:rsidRPr="005F278F" w:rsidRDefault="00D74DAD">
      <w:pPr>
        <w:rPr>
          <w:rFonts w:ascii="Times New Roman" w:hAnsi="Times New Roman" w:cs="Times New Roman"/>
          <w:b/>
        </w:rPr>
      </w:pPr>
    </w:p>
    <w:p w:rsidR="00D74DAD" w:rsidRPr="005F278F" w:rsidRDefault="00CC6DC8" w:rsidP="00D74DAD">
      <w:pPr>
        <w:jc w:val="center"/>
        <w:rPr>
          <w:rFonts w:ascii="Times New Roman" w:hAnsi="Times New Roman" w:cs="Times New Roman"/>
          <w:b/>
        </w:rPr>
      </w:pPr>
      <w:r>
        <w:rPr>
          <w:noProof/>
          <w:lang w:eastAsia="en-GB"/>
        </w:rPr>
        <w:drawing>
          <wp:inline distT="0" distB="0" distL="0" distR="0" wp14:anchorId="18844ECD" wp14:editId="26CFC878">
            <wp:extent cx="2094865" cy="1057275"/>
            <wp:effectExtent l="0" t="0" r="635" b="9525"/>
            <wp:docPr id="2" name="Picture 1" descr="http://www.cips.org/Documents/Membership/Branch%20Event%20uploads/bufdg%20logo.JPG"/>
            <wp:cNvGraphicFramePr/>
            <a:graphic xmlns:a="http://schemas.openxmlformats.org/drawingml/2006/main">
              <a:graphicData uri="http://schemas.openxmlformats.org/drawingml/2006/picture">
                <pic:pic xmlns:pic="http://schemas.openxmlformats.org/drawingml/2006/picture">
                  <pic:nvPicPr>
                    <pic:cNvPr id="2" name="Picture 1" descr="http://www.cips.org/Documents/Membership/Branch%20Event%20uploads/bufdg%20logo.JPG"/>
                    <pic:cNvPicPr/>
                  </pic:nvPicPr>
                  <pic:blipFill>
                    <a:blip r:embed="rId8" cstate="print"/>
                    <a:srcRect/>
                    <a:stretch>
                      <a:fillRect/>
                    </a:stretch>
                  </pic:blipFill>
                  <pic:spPr bwMode="auto">
                    <a:xfrm>
                      <a:off x="0" y="0"/>
                      <a:ext cx="2094865" cy="1057275"/>
                    </a:xfrm>
                    <a:prstGeom prst="rect">
                      <a:avLst/>
                    </a:prstGeom>
                    <a:noFill/>
                  </pic:spPr>
                </pic:pic>
              </a:graphicData>
            </a:graphic>
          </wp:inline>
        </w:drawing>
      </w:r>
    </w:p>
    <w:p w:rsidR="00D74DAD" w:rsidRPr="005F278F" w:rsidRDefault="00D74DAD" w:rsidP="00D74DAD">
      <w:pPr>
        <w:jc w:val="center"/>
        <w:rPr>
          <w:rFonts w:ascii="Times New Roman" w:hAnsi="Times New Roman" w:cs="Times New Roman"/>
          <w:b/>
        </w:rPr>
      </w:pPr>
    </w:p>
    <w:p w:rsidR="00D74DAD" w:rsidRPr="005F278F" w:rsidRDefault="00D74DAD" w:rsidP="00D74DAD">
      <w:pPr>
        <w:jc w:val="center"/>
        <w:rPr>
          <w:rFonts w:ascii="Times New Roman" w:hAnsi="Times New Roman" w:cs="Times New Roman"/>
          <w:b/>
        </w:rPr>
      </w:pPr>
    </w:p>
    <w:p w:rsidR="00D74DAD" w:rsidRPr="005F278F" w:rsidRDefault="00D74DAD" w:rsidP="00D74DAD">
      <w:pPr>
        <w:jc w:val="center"/>
        <w:rPr>
          <w:rFonts w:ascii="Times New Roman" w:hAnsi="Times New Roman" w:cs="Times New Roman"/>
          <w:b/>
        </w:rPr>
      </w:pPr>
    </w:p>
    <w:p w:rsidR="00D74DAD" w:rsidRPr="005F278F" w:rsidRDefault="00D74DAD" w:rsidP="00D74DAD">
      <w:pPr>
        <w:rPr>
          <w:rFonts w:ascii="Times New Roman" w:hAnsi="Times New Roman" w:cs="Times New Roman"/>
          <w:b/>
        </w:rPr>
      </w:pPr>
    </w:p>
    <w:p w:rsidR="001E39D2" w:rsidRPr="005F278F" w:rsidRDefault="001E39D2" w:rsidP="00D74DAD">
      <w:pPr>
        <w:jc w:val="center"/>
        <w:rPr>
          <w:rFonts w:ascii="Times New Roman" w:hAnsi="Times New Roman" w:cs="Times New Roman"/>
          <w:b/>
        </w:rPr>
      </w:pPr>
    </w:p>
    <w:p w:rsidR="00D74DAD" w:rsidRPr="00CC6DC8" w:rsidRDefault="00386E0E" w:rsidP="00D74DAD">
      <w:pPr>
        <w:jc w:val="center"/>
        <w:rPr>
          <w:rFonts w:ascii="Times New Roman" w:hAnsi="Times New Roman" w:cs="Times New Roman"/>
          <w:b/>
          <w:sz w:val="28"/>
        </w:rPr>
      </w:pPr>
      <w:r w:rsidRPr="00CC6DC8">
        <w:rPr>
          <w:rFonts w:ascii="Times New Roman" w:hAnsi="Times New Roman" w:cs="Times New Roman"/>
          <w:b/>
          <w:sz w:val="28"/>
        </w:rPr>
        <w:t>BUFDG Guidance</w:t>
      </w:r>
    </w:p>
    <w:p w:rsidR="00D74DAD" w:rsidRPr="00CC6DC8" w:rsidRDefault="00D74DAD" w:rsidP="00D74DAD">
      <w:pPr>
        <w:jc w:val="center"/>
        <w:rPr>
          <w:rFonts w:ascii="Times New Roman" w:hAnsi="Times New Roman" w:cs="Times New Roman"/>
          <w:b/>
          <w:sz w:val="28"/>
        </w:rPr>
      </w:pPr>
    </w:p>
    <w:p w:rsidR="00D74DAD" w:rsidRPr="00CC6DC8" w:rsidRDefault="00D74DAD" w:rsidP="00D74DAD">
      <w:pPr>
        <w:jc w:val="center"/>
        <w:rPr>
          <w:rFonts w:ascii="Times New Roman" w:hAnsi="Times New Roman" w:cs="Times New Roman"/>
          <w:b/>
          <w:sz w:val="28"/>
        </w:rPr>
      </w:pPr>
      <w:r w:rsidRPr="00CC6DC8">
        <w:rPr>
          <w:rFonts w:ascii="Times New Roman" w:hAnsi="Times New Roman" w:cs="Times New Roman"/>
          <w:b/>
          <w:sz w:val="28"/>
        </w:rPr>
        <w:t>S</w:t>
      </w:r>
      <w:r w:rsidR="00CC6DC8" w:rsidRPr="00CC6DC8">
        <w:rPr>
          <w:rFonts w:ascii="Times New Roman" w:hAnsi="Times New Roman" w:cs="Times New Roman"/>
          <w:b/>
          <w:sz w:val="28"/>
        </w:rPr>
        <w:t>ervice Concessions Case Studies</w:t>
      </w:r>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D74DAD" w:rsidRPr="00CC6DC8" w:rsidRDefault="00C64B05" w:rsidP="00CC6DC8">
      <w:pPr>
        <w:jc w:val="center"/>
        <w:rPr>
          <w:rFonts w:ascii="Times New Roman" w:hAnsi="Times New Roman" w:cs="Times New Roman"/>
          <w:b/>
        </w:rPr>
      </w:pPr>
      <w:r w:rsidRPr="00C64B05">
        <w:rPr>
          <w:rFonts w:ascii="Times New Roman" w:hAnsi="Times New Roman" w:cs="Times New Roman"/>
          <w:b/>
          <w:iCs/>
        </w:rPr>
        <w:t>This guidance document has been produced by BUFDG for BUFDG members to assist institutions implement FRS102 and the new SORP by providing practical interpretations and specific examples. It is for each institution to exercise its own professional judgement and take responsibility for applying FRS102 and the new SORP. This document has not been considered or approved by the SORP Board and is expected to be updated from time to time by BUFDG Financial Reporting Group.</w:t>
      </w:r>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bookmarkStart w:id="0" w:name="_GoBack"/>
      <w:bookmarkEnd w:id="0"/>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C52561" w:rsidRPr="005F278F" w:rsidRDefault="00C52561">
      <w:pPr>
        <w:rPr>
          <w:rFonts w:ascii="Times New Roman" w:hAnsi="Times New Roman" w:cs="Times New Roman"/>
          <w:b/>
        </w:rPr>
      </w:pPr>
    </w:p>
    <w:p w:rsidR="00C52561" w:rsidRPr="005F278F" w:rsidRDefault="00C52561">
      <w:pPr>
        <w:rPr>
          <w:rFonts w:ascii="Times New Roman" w:hAnsi="Times New Roman" w:cs="Times New Roman"/>
          <w:b/>
        </w:rPr>
      </w:pPr>
    </w:p>
    <w:p w:rsidR="00D74DAD" w:rsidRPr="005F278F" w:rsidRDefault="00D74DAD">
      <w:pPr>
        <w:rPr>
          <w:rFonts w:ascii="Times New Roman" w:hAnsi="Times New Roman" w:cs="Times New Roman"/>
          <w:b/>
        </w:rPr>
      </w:pPr>
    </w:p>
    <w:p w:rsidR="00D74DAD" w:rsidRPr="005F278F" w:rsidRDefault="00C52561">
      <w:pPr>
        <w:rPr>
          <w:rFonts w:ascii="Times New Roman" w:hAnsi="Times New Roman" w:cs="Times New Roman"/>
          <w:b/>
        </w:rPr>
      </w:pPr>
      <w:r w:rsidRPr="005F278F">
        <w:rPr>
          <w:rFonts w:ascii="Times New Roman" w:hAnsi="Times New Roman" w:cs="Times New Roman"/>
          <w:b/>
        </w:rPr>
        <w:t>Contents</w:t>
      </w:r>
    </w:p>
    <w:p w:rsidR="001D247F" w:rsidRPr="005F278F" w:rsidRDefault="001D247F">
      <w:pPr>
        <w:rPr>
          <w:rFonts w:ascii="Times New Roman" w:hAnsi="Times New Roman" w:cs="Times New Roman"/>
          <w:b/>
        </w:rPr>
      </w:pPr>
    </w:p>
    <w:p w:rsidR="003E5B2C" w:rsidRPr="005F278F" w:rsidRDefault="003E5B2C">
      <w:pP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D74DAD" w:rsidRPr="005F278F" w:rsidTr="004E016E">
        <w:trPr>
          <w:trHeight w:val="430"/>
        </w:trPr>
        <w:tc>
          <w:tcPr>
            <w:tcW w:w="1526" w:type="dxa"/>
          </w:tcPr>
          <w:p w:rsidR="00D74DAD" w:rsidRPr="005F278F" w:rsidRDefault="00D74DAD">
            <w:pPr>
              <w:rPr>
                <w:rFonts w:ascii="Times New Roman" w:hAnsi="Times New Roman" w:cs="Times New Roman"/>
                <w:b/>
              </w:rPr>
            </w:pPr>
            <w:r w:rsidRPr="005F278F">
              <w:rPr>
                <w:rFonts w:ascii="Times New Roman" w:hAnsi="Times New Roman" w:cs="Times New Roman"/>
                <w:b/>
              </w:rPr>
              <w:t>Page 3</w:t>
            </w:r>
          </w:p>
        </w:tc>
        <w:tc>
          <w:tcPr>
            <w:tcW w:w="7716" w:type="dxa"/>
          </w:tcPr>
          <w:p w:rsidR="00D74DAD" w:rsidRPr="005F278F" w:rsidRDefault="00D74DAD">
            <w:pPr>
              <w:rPr>
                <w:rFonts w:ascii="Times New Roman" w:hAnsi="Times New Roman" w:cs="Times New Roman"/>
                <w:b/>
              </w:rPr>
            </w:pPr>
            <w:r w:rsidRPr="005F278F">
              <w:rPr>
                <w:rFonts w:ascii="Times New Roman" w:hAnsi="Times New Roman" w:cs="Times New Roman"/>
                <w:b/>
              </w:rPr>
              <w:t>Introduction</w:t>
            </w:r>
          </w:p>
        </w:tc>
      </w:tr>
      <w:tr w:rsidR="00D74DAD" w:rsidRPr="005F278F" w:rsidTr="004E016E">
        <w:tc>
          <w:tcPr>
            <w:tcW w:w="1526" w:type="dxa"/>
          </w:tcPr>
          <w:p w:rsidR="00D74DAD" w:rsidRPr="005F278F" w:rsidRDefault="00365572">
            <w:pPr>
              <w:rPr>
                <w:rFonts w:ascii="Times New Roman" w:hAnsi="Times New Roman" w:cs="Times New Roman"/>
                <w:b/>
              </w:rPr>
            </w:pPr>
            <w:r>
              <w:rPr>
                <w:rFonts w:ascii="Times New Roman" w:hAnsi="Times New Roman" w:cs="Times New Roman"/>
                <w:b/>
              </w:rPr>
              <w:t>Page 5</w:t>
            </w:r>
            <w:r w:rsidR="00D74DAD" w:rsidRPr="005F278F">
              <w:rPr>
                <w:rFonts w:ascii="Times New Roman" w:hAnsi="Times New Roman" w:cs="Times New Roman"/>
                <w:b/>
              </w:rPr>
              <w:t xml:space="preserve">  </w:t>
            </w:r>
          </w:p>
        </w:tc>
        <w:tc>
          <w:tcPr>
            <w:tcW w:w="7716" w:type="dxa"/>
          </w:tcPr>
          <w:p w:rsidR="00D74DAD" w:rsidRPr="005F278F" w:rsidRDefault="004E016E" w:rsidP="00D74DAD">
            <w:pPr>
              <w:rPr>
                <w:rFonts w:ascii="Times New Roman" w:hAnsi="Times New Roman" w:cs="Times New Roman"/>
                <w:b/>
              </w:rPr>
            </w:pPr>
            <w:r w:rsidRPr="005F278F">
              <w:rPr>
                <w:rFonts w:ascii="Times New Roman" w:hAnsi="Times New Roman" w:cs="Times New Roman"/>
                <w:b/>
              </w:rPr>
              <w:t xml:space="preserve">Case Study 1  </w:t>
            </w:r>
            <w:r w:rsidR="00D74DAD" w:rsidRPr="005F278F">
              <w:rPr>
                <w:rFonts w:ascii="Times New Roman" w:hAnsi="Times New Roman" w:cs="Times New Roman"/>
                <w:b/>
              </w:rPr>
              <w:t>Residency arrangement with occupancy guarantee</w:t>
            </w:r>
          </w:p>
          <w:p w:rsidR="00D74DAD" w:rsidRPr="005F278F" w:rsidRDefault="00D74DAD">
            <w:pPr>
              <w:rPr>
                <w:rFonts w:ascii="Times New Roman" w:hAnsi="Times New Roman" w:cs="Times New Roman"/>
                <w:b/>
              </w:rPr>
            </w:pPr>
          </w:p>
        </w:tc>
      </w:tr>
      <w:tr w:rsidR="00D74DAD" w:rsidRPr="005F278F" w:rsidTr="004E016E">
        <w:tc>
          <w:tcPr>
            <w:tcW w:w="1526" w:type="dxa"/>
          </w:tcPr>
          <w:p w:rsidR="00D74DAD" w:rsidRPr="005F278F" w:rsidRDefault="009E40F9">
            <w:pPr>
              <w:rPr>
                <w:rFonts w:ascii="Times New Roman" w:hAnsi="Times New Roman" w:cs="Times New Roman"/>
                <w:b/>
              </w:rPr>
            </w:pPr>
            <w:r w:rsidRPr="005F278F">
              <w:rPr>
                <w:rFonts w:ascii="Times New Roman" w:hAnsi="Times New Roman" w:cs="Times New Roman"/>
                <w:b/>
              </w:rPr>
              <w:t xml:space="preserve">Page </w:t>
            </w:r>
            <w:r w:rsidR="00365572">
              <w:rPr>
                <w:rFonts w:ascii="Times New Roman" w:hAnsi="Times New Roman" w:cs="Times New Roman"/>
                <w:b/>
              </w:rPr>
              <w:t>9</w:t>
            </w:r>
          </w:p>
        </w:tc>
        <w:tc>
          <w:tcPr>
            <w:tcW w:w="7716" w:type="dxa"/>
          </w:tcPr>
          <w:p w:rsidR="00D74DAD" w:rsidRPr="005F278F" w:rsidRDefault="004E016E" w:rsidP="00D74DAD">
            <w:pPr>
              <w:rPr>
                <w:rFonts w:ascii="Times New Roman" w:hAnsi="Times New Roman" w:cs="Times New Roman"/>
                <w:b/>
              </w:rPr>
            </w:pPr>
            <w:r w:rsidRPr="005F278F">
              <w:rPr>
                <w:rFonts w:ascii="Times New Roman" w:hAnsi="Times New Roman" w:cs="Times New Roman"/>
                <w:b/>
              </w:rPr>
              <w:t xml:space="preserve">Case Study 2  </w:t>
            </w:r>
            <w:r w:rsidR="00D74DAD" w:rsidRPr="005F278F">
              <w:rPr>
                <w:rFonts w:ascii="Times New Roman" w:hAnsi="Times New Roman" w:cs="Times New Roman"/>
                <w:b/>
              </w:rPr>
              <w:t>Residency arrangement with no occupancy guarantee</w:t>
            </w:r>
          </w:p>
          <w:p w:rsidR="00D74DAD" w:rsidRPr="005F278F" w:rsidRDefault="00D74DAD">
            <w:pPr>
              <w:rPr>
                <w:rFonts w:ascii="Times New Roman" w:hAnsi="Times New Roman" w:cs="Times New Roman"/>
                <w:b/>
              </w:rPr>
            </w:pPr>
          </w:p>
        </w:tc>
      </w:tr>
      <w:tr w:rsidR="00D74DAD" w:rsidRPr="005F278F" w:rsidTr="004E016E">
        <w:tc>
          <w:tcPr>
            <w:tcW w:w="1526" w:type="dxa"/>
          </w:tcPr>
          <w:p w:rsidR="00D74DAD" w:rsidRPr="005F278F" w:rsidRDefault="00D74DAD">
            <w:pPr>
              <w:rPr>
                <w:rFonts w:ascii="Times New Roman" w:hAnsi="Times New Roman" w:cs="Times New Roman"/>
                <w:b/>
              </w:rPr>
            </w:pPr>
            <w:r w:rsidRPr="005F278F">
              <w:rPr>
                <w:rFonts w:ascii="Times New Roman" w:hAnsi="Times New Roman" w:cs="Times New Roman"/>
                <w:b/>
              </w:rPr>
              <w:t>Pag</w:t>
            </w:r>
            <w:r w:rsidR="009E40F9" w:rsidRPr="005F278F">
              <w:rPr>
                <w:rFonts w:ascii="Times New Roman" w:hAnsi="Times New Roman" w:cs="Times New Roman"/>
                <w:b/>
              </w:rPr>
              <w:t>e 1</w:t>
            </w:r>
            <w:r w:rsidR="00365572">
              <w:rPr>
                <w:rFonts w:ascii="Times New Roman" w:hAnsi="Times New Roman" w:cs="Times New Roman"/>
                <w:b/>
              </w:rPr>
              <w:t>2</w:t>
            </w:r>
          </w:p>
        </w:tc>
        <w:tc>
          <w:tcPr>
            <w:tcW w:w="7716" w:type="dxa"/>
          </w:tcPr>
          <w:p w:rsidR="00D74DAD" w:rsidRPr="005F278F" w:rsidRDefault="004E016E" w:rsidP="00D74DAD">
            <w:pPr>
              <w:rPr>
                <w:rFonts w:ascii="Times New Roman" w:hAnsi="Times New Roman" w:cs="Times New Roman"/>
                <w:b/>
              </w:rPr>
            </w:pPr>
            <w:r w:rsidRPr="005F278F">
              <w:rPr>
                <w:rFonts w:ascii="Times New Roman" w:hAnsi="Times New Roman" w:cs="Times New Roman"/>
                <w:b/>
              </w:rPr>
              <w:t xml:space="preserve">Case Study 3 </w:t>
            </w:r>
            <w:r w:rsidR="00D74DAD" w:rsidRPr="005F278F">
              <w:rPr>
                <w:rFonts w:ascii="Times New Roman" w:hAnsi="Times New Roman" w:cs="Times New Roman"/>
                <w:b/>
              </w:rPr>
              <w:t xml:space="preserve"> Residency arrangement with the University holding an operating lease with a joint venture in which the University holds a 50% interest.</w:t>
            </w:r>
          </w:p>
          <w:p w:rsidR="00D74DAD" w:rsidRPr="005F278F" w:rsidRDefault="00D74DAD">
            <w:pPr>
              <w:rPr>
                <w:rFonts w:ascii="Times New Roman" w:hAnsi="Times New Roman" w:cs="Times New Roman"/>
                <w:b/>
              </w:rPr>
            </w:pPr>
          </w:p>
        </w:tc>
      </w:tr>
      <w:tr w:rsidR="00D74DAD" w:rsidRPr="005F278F" w:rsidTr="004E016E">
        <w:tc>
          <w:tcPr>
            <w:tcW w:w="1526" w:type="dxa"/>
          </w:tcPr>
          <w:p w:rsidR="00D74DAD" w:rsidRPr="005F278F" w:rsidRDefault="009E40F9">
            <w:pPr>
              <w:rPr>
                <w:rFonts w:ascii="Times New Roman" w:hAnsi="Times New Roman" w:cs="Times New Roman"/>
                <w:b/>
              </w:rPr>
            </w:pPr>
            <w:r w:rsidRPr="005F278F">
              <w:rPr>
                <w:rFonts w:ascii="Times New Roman" w:hAnsi="Times New Roman" w:cs="Times New Roman"/>
                <w:b/>
              </w:rPr>
              <w:t>Page 1</w:t>
            </w:r>
            <w:r w:rsidR="00D261F8">
              <w:rPr>
                <w:rFonts w:ascii="Times New Roman" w:hAnsi="Times New Roman" w:cs="Times New Roman"/>
                <w:b/>
              </w:rPr>
              <w:t>5</w:t>
            </w:r>
            <w:r w:rsidR="004E016E" w:rsidRPr="005F278F">
              <w:rPr>
                <w:rFonts w:ascii="Times New Roman" w:hAnsi="Times New Roman" w:cs="Times New Roman"/>
                <w:b/>
              </w:rPr>
              <w:t xml:space="preserve"> </w:t>
            </w:r>
          </w:p>
        </w:tc>
        <w:tc>
          <w:tcPr>
            <w:tcW w:w="7716" w:type="dxa"/>
          </w:tcPr>
          <w:p w:rsidR="00D74DAD" w:rsidRPr="005F278F" w:rsidRDefault="00D74DAD" w:rsidP="00D74DAD">
            <w:pPr>
              <w:rPr>
                <w:rFonts w:ascii="Times New Roman" w:hAnsi="Times New Roman" w:cs="Times New Roman"/>
                <w:b/>
              </w:rPr>
            </w:pPr>
            <w:r w:rsidRPr="005F278F">
              <w:rPr>
                <w:rFonts w:ascii="Times New Roman" w:hAnsi="Times New Roman" w:cs="Times New Roman"/>
                <w:b/>
              </w:rPr>
              <w:t xml:space="preserve">Case Study 4  </w:t>
            </w:r>
            <w:r w:rsidR="004E016E" w:rsidRPr="005F278F">
              <w:rPr>
                <w:rFonts w:ascii="Times New Roman" w:hAnsi="Times New Roman" w:cs="Times New Roman"/>
                <w:b/>
              </w:rPr>
              <w:t>Residency arrangement with nomination rights, but no occupancy guarantee.</w:t>
            </w:r>
          </w:p>
          <w:p w:rsidR="004E016E" w:rsidRPr="005F278F" w:rsidRDefault="004E016E" w:rsidP="00D74DAD">
            <w:pPr>
              <w:rPr>
                <w:rFonts w:ascii="Times New Roman" w:hAnsi="Times New Roman" w:cs="Times New Roman"/>
                <w:b/>
              </w:rPr>
            </w:pPr>
          </w:p>
        </w:tc>
      </w:tr>
      <w:tr w:rsidR="004E016E" w:rsidRPr="005F278F" w:rsidTr="004E016E">
        <w:tc>
          <w:tcPr>
            <w:tcW w:w="1526" w:type="dxa"/>
          </w:tcPr>
          <w:p w:rsidR="004E016E" w:rsidRPr="005F278F" w:rsidRDefault="009E40F9">
            <w:pPr>
              <w:rPr>
                <w:rFonts w:ascii="Times New Roman" w:hAnsi="Times New Roman" w:cs="Times New Roman"/>
                <w:b/>
              </w:rPr>
            </w:pPr>
            <w:r w:rsidRPr="005F278F">
              <w:rPr>
                <w:rFonts w:ascii="Times New Roman" w:hAnsi="Times New Roman" w:cs="Times New Roman"/>
                <w:b/>
              </w:rPr>
              <w:t>Page 1</w:t>
            </w:r>
            <w:r w:rsidR="00EE39BE">
              <w:rPr>
                <w:rFonts w:ascii="Times New Roman" w:hAnsi="Times New Roman" w:cs="Times New Roman"/>
                <w:b/>
              </w:rPr>
              <w:t>8</w:t>
            </w:r>
            <w:r w:rsidRPr="005F278F">
              <w:rPr>
                <w:rFonts w:ascii="Times New Roman" w:hAnsi="Times New Roman" w:cs="Times New Roman"/>
                <w:b/>
              </w:rPr>
              <w:t xml:space="preserve"> </w:t>
            </w:r>
          </w:p>
        </w:tc>
        <w:tc>
          <w:tcPr>
            <w:tcW w:w="7716" w:type="dxa"/>
          </w:tcPr>
          <w:p w:rsidR="004E016E" w:rsidRPr="005F278F" w:rsidRDefault="004E016E" w:rsidP="00D74DAD">
            <w:pPr>
              <w:rPr>
                <w:rFonts w:ascii="Times New Roman" w:hAnsi="Times New Roman" w:cs="Times New Roman"/>
                <w:b/>
              </w:rPr>
            </w:pPr>
            <w:r w:rsidRPr="005F278F">
              <w:rPr>
                <w:rFonts w:ascii="Times New Roman" w:hAnsi="Times New Roman" w:cs="Times New Roman"/>
                <w:b/>
              </w:rPr>
              <w:t>Case Study 5  PFI arrangement for the construction and servicing of a Halls of Residence</w:t>
            </w:r>
          </w:p>
          <w:p w:rsidR="004E016E" w:rsidRPr="005F278F" w:rsidRDefault="004E016E" w:rsidP="00D74DAD">
            <w:pPr>
              <w:rPr>
                <w:rFonts w:ascii="Times New Roman" w:hAnsi="Times New Roman" w:cs="Times New Roman"/>
                <w:b/>
              </w:rPr>
            </w:pPr>
          </w:p>
        </w:tc>
      </w:tr>
      <w:tr w:rsidR="004E016E" w:rsidRPr="005F278F" w:rsidTr="004E016E">
        <w:tc>
          <w:tcPr>
            <w:tcW w:w="1526" w:type="dxa"/>
          </w:tcPr>
          <w:p w:rsidR="004E016E" w:rsidRPr="005F278F" w:rsidRDefault="009E40F9">
            <w:pPr>
              <w:rPr>
                <w:rFonts w:ascii="Times New Roman" w:hAnsi="Times New Roman" w:cs="Times New Roman"/>
                <w:b/>
              </w:rPr>
            </w:pPr>
            <w:r w:rsidRPr="005F278F">
              <w:rPr>
                <w:rFonts w:ascii="Times New Roman" w:hAnsi="Times New Roman" w:cs="Times New Roman"/>
                <w:b/>
              </w:rPr>
              <w:t xml:space="preserve">Page </w:t>
            </w:r>
            <w:r w:rsidR="00D261F8">
              <w:rPr>
                <w:rFonts w:ascii="Times New Roman" w:hAnsi="Times New Roman" w:cs="Times New Roman"/>
                <w:b/>
              </w:rPr>
              <w:t>2</w:t>
            </w:r>
            <w:r w:rsidR="00EE39BE">
              <w:rPr>
                <w:rFonts w:ascii="Times New Roman" w:hAnsi="Times New Roman" w:cs="Times New Roman"/>
                <w:b/>
              </w:rPr>
              <w:t>1</w:t>
            </w:r>
          </w:p>
        </w:tc>
        <w:tc>
          <w:tcPr>
            <w:tcW w:w="7716" w:type="dxa"/>
          </w:tcPr>
          <w:p w:rsidR="004E016E" w:rsidRPr="005F278F" w:rsidRDefault="004E016E" w:rsidP="00D74DAD">
            <w:pPr>
              <w:rPr>
                <w:rFonts w:ascii="Times New Roman" w:hAnsi="Times New Roman" w:cs="Times New Roman"/>
                <w:b/>
              </w:rPr>
            </w:pPr>
            <w:r w:rsidRPr="005F278F">
              <w:rPr>
                <w:rFonts w:ascii="Times New Roman" w:hAnsi="Times New Roman" w:cs="Times New Roman"/>
                <w:b/>
              </w:rPr>
              <w:t>Appendix 1 Extract from the SORP on Accounting for Service Concessions</w:t>
            </w:r>
          </w:p>
          <w:p w:rsidR="004E016E" w:rsidRPr="005F278F" w:rsidRDefault="004E016E" w:rsidP="00D74DAD">
            <w:pPr>
              <w:rPr>
                <w:rFonts w:ascii="Times New Roman" w:hAnsi="Times New Roman" w:cs="Times New Roman"/>
                <w:b/>
              </w:rPr>
            </w:pPr>
          </w:p>
        </w:tc>
      </w:tr>
    </w:tbl>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D74DAD" w:rsidRPr="005F278F" w:rsidRDefault="00D74DAD">
      <w:pPr>
        <w:rPr>
          <w:rFonts w:ascii="Times New Roman" w:hAnsi="Times New Roman" w:cs="Times New Roman"/>
          <w:b/>
        </w:rPr>
      </w:pPr>
    </w:p>
    <w:p w:rsidR="005F6F62" w:rsidRPr="005F278F" w:rsidRDefault="005F6F62">
      <w:pPr>
        <w:rPr>
          <w:rFonts w:ascii="Times New Roman" w:hAnsi="Times New Roman" w:cs="Times New Roman"/>
          <w:b/>
        </w:rPr>
      </w:pPr>
    </w:p>
    <w:p w:rsidR="004E016E" w:rsidRPr="005F278F" w:rsidRDefault="004E016E">
      <w:pPr>
        <w:rPr>
          <w:rFonts w:ascii="Times New Roman" w:hAnsi="Times New Roman" w:cs="Times New Roman"/>
          <w:b/>
        </w:rPr>
      </w:pPr>
    </w:p>
    <w:p w:rsidR="00A15A1A" w:rsidRPr="005F278F" w:rsidRDefault="00C52561">
      <w:pPr>
        <w:rPr>
          <w:rFonts w:ascii="Times New Roman" w:hAnsi="Times New Roman" w:cs="Times New Roman"/>
          <w:b/>
        </w:rPr>
      </w:pPr>
      <w:r w:rsidRPr="005F278F">
        <w:rPr>
          <w:rFonts w:ascii="Times New Roman" w:hAnsi="Times New Roman" w:cs="Times New Roman"/>
          <w:b/>
        </w:rPr>
        <w:br w:type="page"/>
      </w:r>
      <w:r w:rsidR="00D74DAD" w:rsidRPr="005F278F">
        <w:rPr>
          <w:rFonts w:ascii="Times New Roman" w:hAnsi="Times New Roman" w:cs="Times New Roman"/>
          <w:b/>
        </w:rPr>
        <w:lastRenderedPageBreak/>
        <w:t>Introduction</w:t>
      </w:r>
    </w:p>
    <w:p w:rsidR="002E7162" w:rsidRPr="005F278F" w:rsidRDefault="00191F29">
      <w:pPr>
        <w:rPr>
          <w:rFonts w:ascii="Times New Roman" w:hAnsi="Times New Roman" w:cs="Times New Roman"/>
          <w:b/>
        </w:rPr>
      </w:pPr>
      <w:r w:rsidRPr="005F278F">
        <w:rPr>
          <w:rFonts w:ascii="Times New Roman" w:hAnsi="Times New Roman" w:cs="Times New Roman"/>
          <w:b/>
        </w:rPr>
        <w:t>Service Concessions</w:t>
      </w:r>
      <w:r w:rsidR="00C10E61" w:rsidRPr="005F278F">
        <w:rPr>
          <w:rFonts w:ascii="Times New Roman" w:hAnsi="Times New Roman" w:cs="Times New Roman"/>
          <w:b/>
        </w:rPr>
        <w:t xml:space="preserve"> Case Studies</w:t>
      </w:r>
    </w:p>
    <w:p w:rsidR="00191F29" w:rsidRPr="005F278F" w:rsidRDefault="00191F29" w:rsidP="00191F29">
      <w:pPr>
        <w:pStyle w:val="ListParagraph"/>
        <w:numPr>
          <w:ilvl w:val="0"/>
          <w:numId w:val="2"/>
        </w:numPr>
        <w:ind w:left="357" w:hanging="357"/>
        <w:contextualSpacing w:val="0"/>
        <w:rPr>
          <w:rFonts w:ascii="Times New Roman" w:hAnsi="Times New Roman" w:cs="Times New Roman"/>
        </w:rPr>
      </w:pPr>
      <w:r w:rsidRPr="005F278F">
        <w:rPr>
          <w:rFonts w:ascii="Times New Roman" w:hAnsi="Times New Roman" w:cs="Times New Roman"/>
        </w:rPr>
        <w:t>FRS102 includes a separate section on Service Concession Arrangements within section 34 (Specialised activities).</w:t>
      </w:r>
    </w:p>
    <w:p w:rsidR="00191F29" w:rsidRPr="005F278F" w:rsidRDefault="00191F29" w:rsidP="00191F29">
      <w:pPr>
        <w:pStyle w:val="ListParagraph"/>
        <w:numPr>
          <w:ilvl w:val="0"/>
          <w:numId w:val="2"/>
        </w:numPr>
        <w:ind w:left="357" w:hanging="357"/>
        <w:contextualSpacing w:val="0"/>
        <w:rPr>
          <w:rFonts w:ascii="Times New Roman" w:hAnsi="Times New Roman" w:cs="Times New Roman"/>
        </w:rPr>
      </w:pPr>
      <w:r w:rsidRPr="005F278F">
        <w:rPr>
          <w:rFonts w:ascii="Times New Roman" w:hAnsi="Times New Roman" w:cs="Times New Roman"/>
        </w:rPr>
        <w:t xml:space="preserve">There are significant differences between the existing </w:t>
      </w:r>
      <w:r w:rsidR="005D21B6" w:rsidRPr="005F278F">
        <w:rPr>
          <w:rFonts w:ascii="Times New Roman" w:hAnsi="Times New Roman" w:cs="Times New Roman"/>
        </w:rPr>
        <w:t>2007 FE HE</w:t>
      </w:r>
      <w:r w:rsidRPr="005F278F">
        <w:rPr>
          <w:rFonts w:ascii="Times New Roman" w:hAnsi="Times New Roman" w:cs="Times New Roman"/>
        </w:rPr>
        <w:t xml:space="preserve"> SORP and FRS102. The existing UK GAAP SORP is a risk and reward</w:t>
      </w:r>
      <w:r w:rsidR="00C52561" w:rsidRPr="005F278F">
        <w:rPr>
          <w:rFonts w:ascii="Times New Roman" w:hAnsi="Times New Roman" w:cs="Times New Roman"/>
        </w:rPr>
        <w:t>s</w:t>
      </w:r>
      <w:r w:rsidRPr="005F278F">
        <w:rPr>
          <w:rFonts w:ascii="Times New Roman" w:hAnsi="Times New Roman" w:cs="Times New Roman"/>
        </w:rPr>
        <w:t xml:space="preserve"> based standard whereas FRS102 is a control</w:t>
      </w:r>
      <w:r w:rsidR="00C52561" w:rsidRPr="005F278F">
        <w:rPr>
          <w:rFonts w:ascii="Times New Roman" w:hAnsi="Times New Roman" w:cs="Times New Roman"/>
        </w:rPr>
        <w:t>s</w:t>
      </w:r>
      <w:r w:rsidRPr="005F278F">
        <w:rPr>
          <w:rFonts w:ascii="Times New Roman" w:hAnsi="Times New Roman" w:cs="Times New Roman"/>
        </w:rPr>
        <w:t xml:space="preserve"> based standard. This can result in a different treatment: under UK GAAP assets are more likely to be off balance sheet; under FRS102 it is more likely that assets will be on institutions</w:t>
      </w:r>
      <w:r w:rsidR="005D21B6" w:rsidRPr="005F278F">
        <w:rPr>
          <w:rFonts w:ascii="Times New Roman" w:hAnsi="Times New Roman" w:cs="Times New Roman"/>
        </w:rPr>
        <w:t>’</w:t>
      </w:r>
      <w:r w:rsidRPr="005F278F">
        <w:rPr>
          <w:rFonts w:ascii="Times New Roman" w:hAnsi="Times New Roman" w:cs="Times New Roman"/>
        </w:rPr>
        <w:t xml:space="preserve"> balance sheets.</w:t>
      </w:r>
    </w:p>
    <w:p w:rsidR="00191F29" w:rsidRPr="005F278F" w:rsidRDefault="00191F29" w:rsidP="00191F29">
      <w:pPr>
        <w:pStyle w:val="ListParagraph"/>
        <w:numPr>
          <w:ilvl w:val="0"/>
          <w:numId w:val="2"/>
        </w:numPr>
        <w:ind w:left="357" w:hanging="357"/>
        <w:contextualSpacing w:val="0"/>
        <w:rPr>
          <w:rFonts w:ascii="Times New Roman" w:hAnsi="Times New Roman" w:cs="Times New Roman"/>
        </w:rPr>
      </w:pPr>
      <w:r w:rsidRPr="005F278F">
        <w:rPr>
          <w:rFonts w:ascii="Times New Roman" w:hAnsi="Times New Roman" w:cs="Times New Roman"/>
        </w:rPr>
        <w:t xml:space="preserve">There </w:t>
      </w:r>
      <w:r w:rsidR="00EE728E" w:rsidRPr="005F278F">
        <w:rPr>
          <w:rFonts w:ascii="Times New Roman" w:hAnsi="Times New Roman" w:cs="Times New Roman"/>
        </w:rPr>
        <w:t xml:space="preserve">are </w:t>
      </w:r>
      <w:r w:rsidR="00285155" w:rsidRPr="005F278F">
        <w:rPr>
          <w:rFonts w:ascii="Times New Roman" w:hAnsi="Times New Roman" w:cs="Times New Roman"/>
        </w:rPr>
        <w:t xml:space="preserve">three </w:t>
      </w:r>
      <w:r w:rsidR="00EE728E" w:rsidRPr="005F278F">
        <w:rPr>
          <w:rFonts w:ascii="Times New Roman" w:hAnsi="Times New Roman" w:cs="Times New Roman"/>
        </w:rPr>
        <w:t>key questi</w:t>
      </w:r>
      <w:r w:rsidR="00C52561" w:rsidRPr="005F278F">
        <w:rPr>
          <w:rFonts w:ascii="Times New Roman" w:hAnsi="Times New Roman" w:cs="Times New Roman"/>
        </w:rPr>
        <w:t>ons set out in the FE HE</w:t>
      </w:r>
      <w:r w:rsidR="00EE728E" w:rsidRPr="005F278F">
        <w:rPr>
          <w:rFonts w:ascii="Times New Roman" w:hAnsi="Times New Roman" w:cs="Times New Roman"/>
        </w:rPr>
        <w:t xml:space="preserve"> SORP</w:t>
      </w:r>
      <w:r w:rsidRPr="005F278F">
        <w:rPr>
          <w:rFonts w:ascii="Times New Roman" w:hAnsi="Times New Roman" w:cs="Times New Roman"/>
        </w:rPr>
        <w:t xml:space="preserve"> to determine whether an institution has a service concession arrangement and whether it should be on or off balance sheet.</w:t>
      </w:r>
    </w:p>
    <w:p w:rsidR="00191F29" w:rsidRPr="005F278F" w:rsidRDefault="00191F29" w:rsidP="00191F29">
      <w:pPr>
        <w:pStyle w:val="ListParagraph"/>
        <w:numPr>
          <w:ilvl w:val="1"/>
          <w:numId w:val="2"/>
        </w:numPr>
        <w:rPr>
          <w:rFonts w:ascii="Times New Roman" w:hAnsi="Times New Roman" w:cs="Times New Roman"/>
        </w:rPr>
      </w:pPr>
      <w:r w:rsidRPr="005F278F">
        <w:rPr>
          <w:rFonts w:ascii="Times New Roman" w:hAnsi="Times New Roman" w:cs="Times New Roman"/>
        </w:rPr>
        <w:t>does the institution acts as principal in the arrangement?;</w:t>
      </w:r>
    </w:p>
    <w:p w:rsidR="00191F29" w:rsidRPr="005F278F" w:rsidRDefault="00191F29" w:rsidP="00191F29">
      <w:pPr>
        <w:pStyle w:val="ListParagraph"/>
        <w:numPr>
          <w:ilvl w:val="1"/>
          <w:numId w:val="2"/>
        </w:numPr>
        <w:rPr>
          <w:rFonts w:ascii="Times New Roman" w:hAnsi="Times New Roman" w:cs="Times New Roman"/>
        </w:rPr>
      </w:pPr>
      <w:r w:rsidRPr="005F278F">
        <w:rPr>
          <w:rFonts w:ascii="Times New Roman" w:hAnsi="Times New Roman" w:cs="Times New Roman"/>
        </w:rPr>
        <w:t>does the arrangement meet the definition of a service concession?;</w:t>
      </w:r>
      <w:r w:rsidR="00285155" w:rsidRPr="005F278F">
        <w:rPr>
          <w:rFonts w:ascii="Times New Roman" w:hAnsi="Times New Roman" w:cs="Times New Roman"/>
        </w:rPr>
        <w:t xml:space="preserve"> and</w:t>
      </w:r>
    </w:p>
    <w:p w:rsidR="005F278F" w:rsidRPr="005F278F" w:rsidRDefault="00191F29" w:rsidP="00191F29">
      <w:pPr>
        <w:pStyle w:val="ListParagraph"/>
        <w:numPr>
          <w:ilvl w:val="1"/>
          <w:numId w:val="2"/>
        </w:numPr>
        <w:rPr>
          <w:rFonts w:ascii="Times New Roman" w:hAnsi="Times New Roman" w:cs="Times New Roman"/>
        </w:rPr>
      </w:pPr>
      <w:r w:rsidRPr="005F278F">
        <w:rPr>
          <w:rFonts w:ascii="Times New Roman" w:hAnsi="Times New Roman" w:cs="Times New Roman"/>
        </w:rPr>
        <w:t>does the arrangement pa</w:t>
      </w:r>
      <w:r w:rsidR="0076555B">
        <w:rPr>
          <w:rFonts w:ascii="Times New Roman" w:hAnsi="Times New Roman" w:cs="Times New Roman"/>
        </w:rPr>
        <w:t>ss the control test in FRS102?.</w:t>
      </w:r>
    </w:p>
    <w:p w:rsidR="00191F29" w:rsidRPr="005F278F" w:rsidRDefault="00191F29" w:rsidP="005F278F">
      <w:pPr>
        <w:pStyle w:val="ListParagraph"/>
        <w:rPr>
          <w:rFonts w:ascii="Times New Roman" w:hAnsi="Times New Roman" w:cs="Times New Roman"/>
        </w:rPr>
      </w:pPr>
    </w:p>
    <w:p w:rsidR="00554DF4" w:rsidRDefault="00285155">
      <w:pPr>
        <w:pStyle w:val="ListParagraph"/>
        <w:numPr>
          <w:ilvl w:val="0"/>
          <w:numId w:val="2"/>
        </w:numPr>
        <w:ind w:left="357" w:hanging="357"/>
        <w:contextualSpacing w:val="0"/>
        <w:rPr>
          <w:rFonts w:ascii="Times New Roman" w:hAnsi="Times New Roman" w:cs="Times New Roman"/>
        </w:rPr>
      </w:pPr>
      <w:r w:rsidRPr="005F278F">
        <w:rPr>
          <w:rFonts w:ascii="Times New Roman" w:hAnsi="Times New Roman" w:cs="Times New Roman"/>
        </w:rPr>
        <w:t xml:space="preserve">If the Institution is the principal, the arrangement meets the definition of a service concession and all the control tests are passed then the scheme should be accounted for as a service concession agreement.  </w:t>
      </w:r>
    </w:p>
    <w:p w:rsidR="00285155" w:rsidRPr="005F278F" w:rsidRDefault="00285155" w:rsidP="005F278F">
      <w:pPr>
        <w:pStyle w:val="ListParagraph"/>
        <w:ind w:left="357"/>
        <w:contextualSpacing w:val="0"/>
        <w:rPr>
          <w:rFonts w:ascii="Times New Roman" w:hAnsi="Times New Roman" w:cs="Times New Roman"/>
        </w:rPr>
      </w:pPr>
      <w:r w:rsidRPr="005F278F">
        <w:rPr>
          <w:rFonts w:ascii="Times New Roman" w:hAnsi="Times New Roman" w:cs="Times New Roman"/>
        </w:rPr>
        <w:t>The Institution should account for service concession arrangements at the present value of the guaranteed minimum payment at any point in time.  This will change year on year and could change as a result of additional guarantees being entered into – e.g. in the case of nomination rights.</w:t>
      </w:r>
    </w:p>
    <w:p w:rsidR="00554DF4" w:rsidRDefault="00E63D33">
      <w:pPr>
        <w:pStyle w:val="ListParagraph"/>
        <w:numPr>
          <w:ilvl w:val="0"/>
          <w:numId w:val="2"/>
        </w:numPr>
        <w:rPr>
          <w:rFonts w:ascii="Times New Roman" w:hAnsi="Times New Roman" w:cs="Times New Roman"/>
        </w:rPr>
      </w:pPr>
      <w:r w:rsidRPr="00E63D33">
        <w:rPr>
          <w:rFonts w:ascii="Times New Roman" w:hAnsi="Times New Roman" w:cs="Times New Roman"/>
        </w:rPr>
        <w:t>To enable institutions to consider their own arrangements, below are some case studies illustrating the impact of FRS102 on a variety of arrangements. However we note that arrangements within the FE and HE sector vary widely and institutions will need to understand the terms of their individual schemes and assess these in line with the requirements of FRS102 and the FE HE SORP.</w:t>
      </w:r>
    </w:p>
    <w:p w:rsidR="00285155" w:rsidRDefault="00285155" w:rsidP="00285155">
      <w:pPr>
        <w:pStyle w:val="ListParagraph"/>
        <w:rPr>
          <w:rFonts w:ascii="Times New Roman" w:hAnsi="Times New Roman" w:cs="Times New Roman"/>
        </w:rPr>
      </w:pPr>
    </w:p>
    <w:p w:rsidR="00365572" w:rsidRDefault="00365572" w:rsidP="00285155">
      <w:pPr>
        <w:pStyle w:val="ListParagraph"/>
        <w:rPr>
          <w:rFonts w:ascii="Times New Roman" w:hAnsi="Times New Roman" w:cs="Times New Roman"/>
        </w:rPr>
      </w:pPr>
    </w:p>
    <w:p w:rsidR="00365572" w:rsidRDefault="00365572" w:rsidP="00285155">
      <w:pPr>
        <w:pStyle w:val="ListParagraph"/>
        <w:rPr>
          <w:rFonts w:ascii="Times New Roman" w:hAnsi="Times New Roman" w:cs="Times New Roman"/>
        </w:rPr>
      </w:pPr>
    </w:p>
    <w:p w:rsidR="00365572" w:rsidRDefault="00365572" w:rsidP="00285155">
      <w:pPr>
        <w:pStyle w:val="ListParagraph"/>
        <w:rPr>
          <w:rFonts w:ascii="Times New Roman" w:hAnsi="Times New Roman" w:cs="Times New Roman"/>
        </w:rPr>
      </w:pPr>
    </w:p>
    <w:p w:rsidR="00365572" w:rsidRDefault="00365572" w:rsidP="00285155">
      <w:pPr>
        <w:pStyle w:val="ListParagraph"/>
        <w:rPr>
          <w:rFonts w:ascii="Times New Roman" w:hAnsi="Times New Roman" w:cs="Times New Roman"/>
        </w:rPr>
      </w:pPr>
    </w:p>
    <w:p w:rsidR="00365572" w:rsidRPr="005F278F" w:rsidRDefault="00365572" w:rsidP="00285155">
      <w:pPr>
        <w:pStyle w:val="ListParagraph"/>
        <w:rPr>
          <w:rFonts w:ascii="Times New Roman" w:hAnsi="Times New Roman" w:cs="Times New Roman"/>
        </w:rPr>
      </w:pPr>
    </w:p>
    <w:p w:rsidR="00507DCE" w:rsidRPr="005F278F" w:rsidRDefault="001E39D2" w:rsidP="00285155">
      <w:pPr>
        <w:pStyle w:val="ListParagraph"/>
        <w:ind w:left="360"/>
        <w:rPr>
          <w:rFonts w:ascii="Times New Roman" w:hAnsi="Times New Roman" w:cs="Times New Roman"/>
        </w:rPr>
      </w:pPr>
      <w:r w:rsidRPr="005F278F">
        <w:rPr>
          <w:rFonts w:ascii="Times New Roman" w:hAnsi="Times New Roman" w:cs="Times New Roman"/>
        </w:rPr>
        <w:t xml:space="preserve">This guidance sets out a number of examples of schemes within the </w:t>
      </w:r>
      <w:r w:rsidR="005D21B6" w:rsidRPr="005F278F">
        <w:rPr>
          <w:rFonts w:ascii="Times New Roman" w:hAnsi="Times New Roman" w:cs="Times New Roman"/>
        </w:rPr>
        <w:t>F</w:t>
      </w:r>
      <w:r w:rsidRPr="005F278F">
        <w:rPr>
          <w:rFonts w:ascii="Times New Roman" w:hAnsi="Times New Roman" w:cs="Times New Roman"/>
        </w:rPr>
        <w:t xml:space="preserve">E and </w:t>
      </w:r>
      <w:r w:rsidR="005D21B6" w:rsidRPr="005F278F">
        <w:rPr>
          <w:rFonts w:ascii="Times New Roman" w:hAnsi="Times New Roman" w:cs="Times New Roman"/>
        </w:rPr>
        <w:t>H</w:t>
      </w:r>
      <w:r w:rsidRPr="005F278F">
        <w:rPr>
          <w:rFonts w:ascii="Times New Roman" w:hAnsi="Times New Roman" w:cs="Times New Roman"/>
        </w:rPr>
        <w:t xml:space="preserve">E sector and considers the application of the service concession section of FRS 102 and the </w:t>
      </w:r>
      <w:r w:rsidR="005D21B6" w:rsidRPr="005F278F">
        <w:rPr>
          <w:rFonts w:ascii="Times New Roman" w:hAnsi="Times New Roman" w:cs="Times New Roman"/>
        </w:rPr>
        <w:t>F</w:t>
      </w:r>
      <w:r w:rsidRPr="005F278F">
        <w:rPr>
          <w:rFonts w:ascii="Times New Roman" w:hAnsi="Times New Roman" w:cs="Times New Roman"/>
        </w:rPr>
        <w:t xml:space="preserve">E </w:t>
      </w:r>
      <w:r w:rsidR="005D21B6" w:rsidRPr="005F278F">
        <w:rPr>
          <w:rFonts w:ascii="Times New Roman" w:hAnsi="Times New Roman" w:cs="Times New Roman"/>
        </w:rPr>
        <w:t>H</w:t>
      </w:r>
      <w:r w:rsidRPr="005F278F">
        <w:rPr>
          <w:rFonts w:ascii="Times New Roman" w:hAnsi="Times New Roman" w:cs="Times New Roman"/>
        </w:rPr>
        <w:t xml:space="preserve">E SORP. It </w:t>
      </w:r>
      <w:r w:rsidR="00B43083" w:rsidRPr="005F278F">
        <w:rPr>
          <w:rFonts w:ascii="Times New Roman" w:hAnsi="Times New Roman" w:cs="Times New Roman"/>
        </w:rPr>
        <w:t>includes example</w:t>
      </w:r>
      <w:r w:rsidRPr="005F278F">
        <w:rPr>
          <w:rFonts w:ascii="Times New Roman" w:hAnsi="Times New Roman" w:cs="Times New Roman"/>
        </w:rPr>
        <w:t xml:space="preserve"> year 1 accounting entries. Note that these examples may be simpler than actual schemes – eg lifecycle costs have been ignored. Institutions </w:t>
      </w:r>
      <w:r w:rsidR="005D21B6" w:rsidRPr="005F278F">
        <w:rPr>
          <w:rFonts w:ascii="Times New Roman" w:hAnsi="Times New Roman" w:cs="Times New Roman"/>
        </w:rPr>
        <w:t>that conclude that their</w:t>
      </w:r>
      <w:r w:rsidRPr="005F278F">
        <w:rPr>
          <w:rFonts w:ascii="Times New Roman" w:hAnsi="Times New Roman" w:cs="Times New Roman"/>
        </w:rPr>
        <w:t xml:space="preserve"> service concession arrangements</w:t>
      </w:r>
      <w:r w:rsidR="005D21B6" w:rsidRPr="005F278F">
        <w:rPr>
          <w:rFonts w:ascii="Times New Roman" w:hAnsi="Times New Roman" w:cs="Times New Roman"/>
        </w:rPr>
        <w:t xml:space="preserve"> are on balance sheet</w:t>
      </w:r>
      <w:r w:rsidRPr="005F278F">
        <w:rPr>
          <w:rFonts w:ascii="Times New Roman" w:hAnsi="Times New Roman" w:cs="Times New Roman"/>
        </w:rPr>
        <w:t xml:space="preserve"> will need to model the accounting entries over the full life of the scheme, in line with lease accounting, in order to derive the effective interest rate</w:t>
      </w:r>
      <w:r w:rsidR="00507DCE" w:rsidRPr="005F278F">
        <w:rPr>
          <w:rFonts w:ascii="Times New Roman" w:hAnsi="Times New Roman" w:cs="Times New Roman"/>
        </w:rPr>
        <w:t>.</w:t>
      </w:r>
      <w:r w:rsidR="00365572">
        <w:rPr>
          <w:rFonts w:ascii="Times New Roman" w:hAnsi="Times New Roman" w:cs="Times New Roman"/>
        </w:rPr>
        <w:t xml:space="preserve"> Institutions should not underestimate the detail and complexity that can be involved in some of this modelling, which will also need to kept up to date for any contract variations that take place. </w:t>
      </w:r>
    </w:p>
    <w:p w:rsidR="00507DCE" w:rsidRPr="005F278F" w:rsidRDefault="00507DCE" w:rsidP="00285155">
      <w:pPr>
        <w:pStyle w:val="ListParagraph"/>
        <w:ind w:left="360"/>
        <w:rPr>
          <w:rFonts w:ascii="Times New Roman" w:hAnsi="Times New Roman" w:cs="Times New Roman"/>
        </w:rPr>
      </w:pPr>
    </w:p>
    <w:p w:rsidR="005F278F" w:rsidRDefault="005A0331" w:rsidP="00285155">
      <w:pPr>
        <w:pStyle w:val="ListParagraph"/>
        <w:ind w:left="360"/>
        <w:rPr>
          <w:rFonts w:ascii="Times New Roman" w:hAnsi="Times New Roman" w:cs="Times New Roman"/>
          <w:b/>
        </w:rPr>
      </w:pPr>
      <w:r w:rsidRPr="005F278F">
        <w:rPr>
          <w:rFonts w:ascii="Times New Roman" w:hAnsi="Times New Roman" w:cs="Times New Roman"/>
        </w:rPr>
        <w:lastRenderedPageBreak/>
        <w:t xml:space="preserve">Detailed guidance for accounting for service concession arrangements can be found </w:t>
      </w:r>
      <w:r w:rsidR="00525B5B" w:rsidRPr="005F278F">
        <w:rPr>
          <w:rFonts w:ascii="Times New Roman" w:hAnsi="Times New Roman" w:cs="Times New Roman"/>
        </w:rPr>
        <w:t>on the Department of Health website</w:t>
      </w:r>
      <w:r w:rsidR="002052FE" w:rsidRPr="005F278F">
        <w:rPr>
          <w:rFonts w:ascii="Times New Roman" w:hAnsi="Times New Roman" w:cs="Times New Roman"/>
        </w:rPr>
        <w:t xml:space="preserve"> </w:t>
      </w:r>
      <w:hyperlink r:id="rId9" w:history="1">
        <w:r w:rsidR="002052FE" w:rsidRPr="005F278F">
          <w:rPr>
            <w:rStyle w:val="Hyperlink"/>
            <w:rFonts w:ascii="Times New Roman" w:hAnsi="Times New Roman" w:cs="Times New Roman"/>
          </w:rPr>
          <w:t>http://www.doh.gov.uk/doh/finman.nsf</w:t>
        </w:r>
      </w:hyperlink>
      <w:r w:rsidR="00036251" w:rsidRPr="005F278F">
        <w:rPr>
          <w:rFonts w:ascii="Times New Roman" w:hAnsi="Times New Roman" w:cs="Times New Roman"/>
        </w:rPr>
        <w:t xml:space="preserve">. Whilst this guidance may be useful, institutions should note that the application within FRS 102 differs significantly to that adopted within the NHS and the public sector generally.  FRS 102 requires the initial asset and corresponding financial liability to be recorded at the present value of the minimum lease payments. Within the public sector the initial asset  is recognised at fair value, even where the operator receives income from third parties. </w:t>
      </w:r>
    </w:p>
    <w:p w:rsidR="005F278F" w:rsidRDefault="005F278F" w:rsidP="00285155">
      <w:pPr>
        <w:pStyle w:val="ListParagraph"/>
        <w:ind w:left="360"/>
        <w:rPr>
          <w:rFonts w:ascii="Times New Roman" w:hAnsi="Times New Roman" w:cs="Times New Roman"/>
          <w:b/>
        </w:rPr>
      </w:pPr>
    </w:p>
    <w:p w:rsidR="00365572" w:rsidRDefault="00365572">
      <w:pPr>
        <w:rPr>
          <w:rFonts w:ascii="Times New Roman" w:hAnsi="Times New Roman" w:cs="Times New Roman"/>
          <w:b/>
          <w:color w:val="002060"/>
          <w:sz w:val="28"/>
          <w:szCs w:val="28"/>
        </w:rPr>
      </w:pPr>
      <w:r>
        <w:rPr>
          <w:rFonts w:ascii="Times New Roman" w:hAnsi="Times New Roman" w:cs="Times New Roman"/>
          <w:b/>
          <w:color w:val="002060"/>
          <w:sz w:val="28"/>
          <w:szCs w:val="28"/>
        </w:rPr>
        <w:br w:type="page"/>
      </w:r>
    </w:p>
    <w:p w:rsidR="005D3981" w:rsidRPr="0076555B" w:rsidRDefault="00036251" w:rsidP="005F278F">
      <w:pPr>
        <w:pStyle w:val="ListParagraph"/>
        <w:ind w:left="0"/>
        <w:rPr>
          <w:rFonts w:ascii="Times New Roman" w:hAnsi="Times New Roman" w:cs="Times New Roman"/>
          <w:color w:val="002060"/>
          <w:sz w:val="28"/>
          <w:szCs w:val="28"/>
        </w:rPr>
      </w:pPr>
      <w:r w:rsidRPr="0076555B">
        <w:rPr>
          <w:rFonts w:ascii="Times New Roman" w:hAnsi="Times New Roman" w:cs="Times New Roman"/>
          <w:b/>
          <w:color w:val="002060"/>
          <w:sz w:val="28"/>
          <w:szCs w:val="28"/>
        </w:rPr>
        <w:lastRenderedPageBreak/>
        <w:t>Case Study 1 – Residency arrangement with occupancy guarantee.</w:t>
      </w:r>
    </w:p>
    <w:p w:rsidR="00465C38" w:rsidRPr="005F278F" w:rsidRDefault="00465C38" w:rsidP="005A22EF">
      <w:pPr>
        <w:rPr>
          <w:rFonts w:ascii="Times New Roman" w:hAnsi="Times New Roman" w:cs="Times New Roman"/>
          <w:b/>
        </w:rPr>
      </w:pPr>
      <w:r w:rsidRPr="005F278F">
        <w:rPr>
          <w:rFonts w:ascii="Times New Roman" w:hAnsi="Times New Roman" w:cs="Times New Roman"/>
          <w:b/>
        </w:rPr>
        <w:t>Background</w:t>
      </w:r>
    </w:p>
    <w:p w:rsidR="00B64F4D" w:rsidRPr="005F278F" w:rsidRDefault="00465C38" w:rsidP="00465C38">
      <w:pPr>
        <w:pStyle w:val="ListParagraph"/>
        <w:numPr>
          <w:ilvl w:val="0"/>
          <w:numId w:val="23"/>
        </w:numPr>
        <w:rPr>
          <w:rFonts w:ascii="Times New Roman" w:hAnsi="Times New Roman" w:cs="Times New Roman"/>
        </w:rPr>
      </w:pPr>
      <w:r w:rsidRPr="005F278F">
        <w:rPr>
          <w:rFonts w:ascii="Times New Roman" w:hAnsi="Times New Roman" w:cs="Times New Roman"/>
        </w:rPr>
        <w:t>The project was for the design and build of</w:t>
      </w:r>
      <w:r w:rsidR="005E11DC" w:rsidRPr="005F278F">
        <w:rPr>
          <w:rFonts w:ascii="Times New Roman" w:hAnsi="Times New Roman" w:cs="Times New Roman"/>
        </w:rPr>
        <w:t xml:space="preserve"> </w:t>
      </w:r>
      <w:r w:rsidRPr="005F278F">
        <w:rPr>
          <w:rFonts w:ascii="Times New Roman" w:hAnsi="Times New Roman" w:cs="Times New Roman"/>
        </w:rPr>
        <w:t>student accommodation and for the refurbishm</w:t>
      </w:r>
      <w:r w:rsidR="00B64F4D" w:rsidRPr="005F278F">
        <w:rPr>
          <w:rFonts w:ascii="Times New Roman" w:hAnsi="Times New Roman" w:cs="Times New Roman"/>
        </w:rPr>
        <w:t>ent and transfer to the</w:t>
      </w:r>
      <w:r w:rsidR="005E11DC" w:rsidRPr="005F278F">
        <w:rPr>
          <w:rFonts w:ascii="Times New Roman" w:hAnsi="Times New Roman" w:cs="Times New Roman"/>
        </w:rPr>
        <w:t xml:space="preserve"> Special Purpose Vehicle (“</w:t>
      </w:r>
      <w:r w:rsidR="00B64F4D" w:rsidRPr="005F278F">
        <w:rPr>
          <w:rFonts w:ascii="Times New Roman" w:hAnsi="Times New Roman" w:cs="Times New Roman"/>
        </w:rPr>
        <w:t>SPV</w:t>
      </w:r>
      <w:r w:rsidR="005E11DC" w:rsidRPr="005F278F">
        <w:rPr>
          <w:rFonts w:ascii="Times New Roman" w:hAnsi="Times New Roman" w:cs="Times New Roman"/>
        </w:rPr>
        <w:t>”)</w:t>
      </w:r>
      <w:r w:rsidR="00B64F4D" w:rsidRPr="005F278F">
        <w:rPr>
          <w:rFonts w:ascii="Times New Roman" w:hAnsi="Times New Roman" w:cs="Times New Roman"/>
        </w:rPr>
        <w:t xml:space="preserve"> of</w:t>
      </w:r>
      <w:r w:rsidRPr="005F278F">
        <w:rPr>
          <w:rFonts w:ascii="Times New Roman" w:hAnsi="Times New Roman" w:cs="Times New Roman"/>
        </w:rPr>
        <w:t xml:space="preserve"> relatively small existing University student accommodation. </w:t>
      </w:r>
    </w:p>
    <w:p w:rsidR="00B64F4D" w:rsidRPr="005F278F" w:rsidRDefault="00465C38" w:rsidP="00465C38">
      <w:pPr>
        <w:pStyle w:val="ListParagraph"/>
        <w:numPr>
          <w:ilvl w:val="0"/>
          <w:numId w:val="23"/>
        </w:numPr>
        <w:rPr>
          <w:rFonts w:ascii="Times New Roman" w:hAnsi="Times New Roman" w:cs="Times New Roman"/>
        </w:rPr>
      </w:pPr>
      <w:r w:rsidRPr="005F278F">
        <w:rPr>
          <w:rFonts w:ascii="Times New Roman" w:hAnsi="Times New Roman" w:cs="Times New Roman"/>
        </w:rPr>
        <w:t>At financial completion the University granted a 40 year lease</w:t>
      </w:r>
      <w:r w:rsidR="0039518E" w:rsidRPr="005F278F">
        <w:rPr>
          <w:rFonts w:ascii="Times New Roman" w:hAnsi="Times New Roman" w:cs="Times New Roman"/>
        </w:rPr>
        <w:t xml:space="preserve"> of land</w:t>
      </w:r>
      <w:r w:rsidRPr="005F278F">
        <w:rPr>
          <w:rFonts w:ascii="Times New Roman" w:hAnsi="Times New Roman" w:cs="Times New Roman"/>
        </w:rPr>
        <w:t xml:space="preserve"> to</w:t>
      </w:r>
      <w:r w:rsidR="00C6426D" w:rsidRPr="005F278F">
        <w:rPr>
          <w:rFonts w:ascii="Times New Roman" w:hAnsi="Times New Roman" w:cs="Times New Roman"/>
        </w:rPr>
        <w:t xml:space="preserve"> the</w:t>
      </w:r>
      <w:r w:rsidRPr="005F278F">
        <w:rPr>
          <w:rFonts w:ascii="Times New Roman" w:hAnsi="Times New Roman" w:cs="Times New Roman"/>
        </w:rPr>
        <w:t xml:space="preserve"> SPV</w:t>
      </w:r>
      <w:r w:rsidR="0039518E" w:rsidRPr="005F278F">
        <w:rPr>
          <w:rFonts w:ascii="Times New Roman" w:hAnsi="Times New Roman" w:cs="Times New Roman"/>
        </w:rPr>
        <w:t xml:space="preserve"> (the headlease)</w:t>
      </w:r>
      <w:r w:rsidRPr="005F278F">
        <w:rPr>
          <w:rFonts w:ascii="Times New Roman" w:hAnsi="Times New Roman" w:cs="Times New Roman"/>
        </w:rPr>
        <w:t>.</w:t>
      </w:r>
    </w:p>
    <w:p w:rsidR="00B64F4D" w:rsidRPr="005F278F" w:rsidRDefault="00465C38" w:rsidP="00465C38">
      <w:pPr>
        <w:pStyle w:val="ListParagraph"/>
        <w:numPr>
          <w:ilvl w:val="0"/>
          <w:numId w:val="23"/>
        </w:numPr>
        <w:rPr>
          <w:rFonts w:ascii="Times New Roman" w:hAnsi="Times New Roman" w:cs="Times New Roman"/>
        </w:rPr>
      </w:pPr>
      <w:r w:rsidRPr="005F278F">
        <w:rPr>
          <w:rFonts w:ascii="Times New Roman" w:hAnsi="Times New Roman" w:cs="Times New Roman"/>
        </w:rPr>
        <w:t xml:space="preserve">Following construction/refurbishment the </w:t>
      </w:r>
      <w:r w:rsidR="005E11DC" w:rsidRPr="005F278F">
        <w:rPr>
          <w:rFonts w:ascii="Times New Roman" w:hAnsi="Times New Roman" w:cs="Times New Roman"/>
        </w:rPr>
        <w:t xml:space="preserve">third party entity that builds and maintains the asset (“the </w:t>
      </w:r>
      <w:r w:rsidRPr="005F278F">
        <w:rPr>
          <w:rFonts w:ascii="Times New Roman" w:hAnsi="Times New Roman" w:cs="Times New Roman"/>
        </w:rPr>
        <w:t>operator</w:t>
      </w:r>
      <w:r w:rsidR="005E11DC" w:rsidRPr="005F278F">
        <w:rPr>
          <w:rFonts w:ascii="Times New Roman" w:hAnsi="Times New Roman" w:cs="Times New Roman"/>
        </w:rPr>
        <w:t>”)</w:t>
      </w:r>
      <w:r w:rsidRPr="005F278F">
        <w:rPr>
          <w:rFonts w:ascii="Times New Roman" w:hAnsi="Times New Roman" w:cs="Times New Roman"/>
        </w:rPr>
        <w:t xml:space="preserve"> retained respons</w:t>
      </w:r>
      <w:r w:rsidR="00B64F4D" w:rsidRPr="005F278F">
        <w:rPr>
          <w:rFonts w:ascii="Times New Roman" w:hAnsi="Times New Roman" w:cs="Times New Roman"/>
        </w:rPr>
        <w:t xml:space="preserve">ibility </w:t>
      </w:r>
      <w:r w:rsidRPr="005F278F">
        <w:rPr>
          <w:rFonts w:ascii="Times New Roman" w:hAnsi="Times New Roman" w:cs="Times New Roman"/>
        </w:rPr>
        <w:t>for hard facilities management (i.e. maintenance) throughout the length of the contract</w:t>
      </w:r>
    </w:p>
    <w:p w:rsidR="00B64F4D" w:rsidRPr="005F278F" w:rsidRDefault="00465C38" w:rsidP="00465C38">
      <w:pPr>
        <w:pStyle w:val="ListParagraph"/>
        <w:numPr>
          <w:ilvl w:val="0"/>
          <w:numId w:val="23"/>
        </w:numPr>
        <w:rPr>
          <w:rFonts w:ascii="Times New Roman" w:hAnsi="Times New Roman" w:cs="Times New Roman"/>
        </w:rPr>
      </w:pPr>
      <w:r w:rsidRPr="005F278F">
        <w:rPr>
          <w:rFonts w:ascii="Times New Roman" w:hAnsi="Times New Roman" w:cs="Times New Roman"/>
        </w:rPr>
        <w:t>The University retains responsibility for soft facilities management such as cleaning, portering, marketing and letting to a specification agreed with the contractor</w:t>
      </w:r>
      <w:r w:rsidR="00B64F4D" w:rsidRPr="005F278F">
        <w:rPr>
          <w:rFonts w:ascii="Times New Roman" w:hAnsi="Times New Roman" w:cs="Times New Roman"/>
        </w:rPr>
        <w:t>.</w:t>
      </w:r>
    </w:p>
    <w:p w:rsidR="00B64F4D" w:rsidRPr="005F278F" w:rsidRDefault="00465C38" w:rsidP="00465C38">
      <w:pPr>
        <w:pStyle w:val="ListParagraph"/>
        <w:numPr>
          <w:ilvl w:val="0"/>
          <w:numId w:val="23"/>
        </w:numPr>
        <w:rPr>
          <w:rFonts w:ascii="Times New Roman" w:hAnsi="Times New Roman" w:cs="Times New Roman"/>
        </w:rPr>
      </w:pPr>
      <w:r w:rsidRPr="005F278F">
        <w:rPr>
          <w:rFonts w:ascii="Times New Roman" w:hAnsi="Times New Roman" w:cs="Times New Roman"/>
        </w:rPr>
        <w:t xml:space="preserve">The University has guaranteed a minimum rental payment based on a guaranteed occupancy level using notional letting periods and agreed rent levels. The occupancy level applicable to the guarantee reduces over the length of the contract from 90% in year 1 to 69% in year 40. </w:t>
      </w:r>
    </w:p>
    <w:p w:rsidR="00B64F4D" w:rsidRPr="005F278F" w:rsidRDefault="00465C38" w:rsidP="00465C38">
      <w:pPr>
        <w:pStyle w:val="ListParagraph"/>
        <w:numPr>
          <w:ilvl w:val="0"/>
          <w:numId w:val="23"/>
        </w:numPr>
        <w:rPr>
          <w:rFonts w:ascii="Times New Roman" w:hAnsi="Times New Roman" w:cs="Times New Roman"/>
        </w:rPr>
      </w:pPr>
      <w:r w:rsidRPr="005F278F">
        <w:rPr>
          <w:rFonts w:ascii="Times New Roman" w:hAnsi="Times New Roman" w:cs="Times New Roman"/>
        </w:rPr>
        <w:t>Student residence agreements are between the student and the University</w:t>
      </w:r>
      <w:r w:rsidR="005E11DC" w:rsidRPr="005F278F">
        <w:rPr>
          <w:rFonts w:ascii="Times New Roman" w:hAnsi="Times New Roman" w:cs="Times New Roman"/>
        </w:rPr>
        <w:t>. The University has the void risk on rooms under occupancy guarantee</w:t>
      </w:r>
      <w:r w:rsidRPr="005F278F">
        <w:rPr>
          <w:rFonts w:ascii="Times New Roman" w:hAnsi="Times New Roman" w:cs="Times New Roman"/>
        </w:rPr>
        <w:t>. Above this level it is primarily with the SPV but shared with the University through a profit sharing mechanism. For taking this risk and for administering rent collection the University charges a fee of 3% on the gross rents receivable/received.</w:t>
      </w:r>
    </w:p>
    <w:p w:rsidR="003E7099" w:rsidRPr="005F278F" w:rsidRDefault="00465C38" w:rsidP="00465C38">
      <w:pPr>
        <w:pStyle w:val="ListParagraph"/>
        <w:numPr>
          <w:ilvl w:val="0"/>
          <w:numId w:val="23"/>
        </w:numPr>
        <w:rPr>
          <w:rFonts w:ascii="Times New Roman" w:hAnsi="Times New Roman" w:cs="Times New Roman"/>
        </w:rPr>
      </w:pPr>
      <w:r w:rsidRPr="005F278F">
        <w:rPr>
          <w:rFonts w:ascii="Times New Roman" w:hAnsi="Times New Roman" w:cs="Times New Roman"/>
        </w:rPr>
        <w:t>The assets are returned to the University for nil consideration at the end of the agreement.</w:t>
      </w:r>
    </w:p>
    <w:p w:rsidR="003E7099" w:rsidRPr="0076555B" w:rsidRDefault="00B64F4D" w:rsidP="00465C38">
      <w:pPr>
        <w:rPr>
          <w:rFonts w:ascii="Times New Roman" w:hAnsi="Times New Roman" w:cs="Times New Roman"/>
          <w:b/>
          <w:color w:val="002060"/>
        </w:rPr>
      </w:pPr>
      <w:r w:rsidRPr="0076555B">
        <w:rPr>
          <w:rFonts w:ascii="Times New Roman" w:hAnsi="Times New Roman" w:cs="Times New Roman"/>
          <w:b/>
          <w:color w:val="002060"/>
        </w:rPr>
        <w:t xml:space="preserve">Application of </w:t>
      </w:r>
      <w:r w:rsidR="003C293A" w:rsidRPr="0076555B">
        <w:rPr>
          <w:rFonts w:ascii="Times New Roman" w:hAnsi="Times New Roman" w:cs="Times New Roman"/>
          <w:b/>
          <w:color w:val="002060"/>
        </w:rPr>
        <w:t xml:space="preserve">SORP </w:t>
      </w:r>
      <w:r w:rsidRPr="0076555B">
        <w:rPr>
          <w:rFonts w:ascii="Times New Roman" w:hAnsi="Times New Roman" w:cs="Times New Roman"/>
          <w:b/>
          <w:color w:val="002060"/>
        </w:rPr>
        <w:t>and FRS 102 service concession arrangements</w:t>
      </w:r>
    </w:p>
    <w:p w:rsidR="003E7099" w:rsidRPr="005F278F" w:rsidRDefault="003E7099" w:rsidP="003E7099">
      <w:pPr>
        <w:rPr>
          <w:rFonts w:ascii="Times New Roman" w:hAnsi="Times New Roman" w:cs="Times New Roman"/>
          <w:b/>
        </w:rPr>
      </w:pPr>
      <w:r w:rsidRPr="005F278F">
        <w:rPr>
          <w:rFonts w:ascii="Times New Roman" w:hAnsi="Times New Roman" w:cs="Times New Roman"/>
          <w:b/>
        </w:rPr>
        <w:t>1)  Does the institution acts as principal in the arrangement?</w:t>
      </w:r>
    </w:p>
    <w:p w:rsidR="0039518E" w:rsidRPr="005F278F" w:rsidRDefault="00CE678C" w:rsidP="00465C38">
      <w:pPr>
        <w:rPr>
          <w:rFonts w:ascii="Times New Roman" w:hAnsi="Times New Roman" w:cs="Times New Roman"/>
          <w:b/>
        </w:rPr>
      </w:pPr>
      <w:r w:rsidRPr="005F278F">
        <w:rPr>
          <w:rFonts w:ascii="Times New Roman" w:hAnsi="Times New Roman" w:cs="Times New Roman"/>
          <w:b/>
        </w:rPr>
        <w:t xml:space="preserve">Yes. </w:t>
      </w:r>
    </w:p>
    <w:p w:rsidR="003E7099" w:rsidRPr="005F278F" w:rsidRDefault="00B64F4D" w:rsidP="00465C38">
      <w:pPr>
        <w:rPr>
          <w:rFonts w:ascii="Times New Roman" w:hAnsi="Times New Roman" w:cs="Times New Roman"/>
        </w:rPr>
      </w:pPr>
      <w:r w:rsidRPr="005F278F">
        <w:rPr>
          <w:rFonts w:ascii="Times New Roman" w:hAnsi="Times New Roman" w:cs="Times New Roman"/>
        </w:rPr>
        <w:t xml:space="preserve">The </w:t>
      </w:r>
      <w:r w:rsidR="00B43083" w:rsidRPr="005F278F">
        <w:rPr>
          <w:rFonts w:ascii="Times New Roman" w:hAnsi="Times New Roman" w:cs="Times New Roman"/>
        </w:rPr>
        <w:t>U</w:t>
      </w:r>
      <w:r w:rsidR="003E7099" w:rsidRPr="005F278F">
        <w:rPr>
          <w:rFonts w:ascii="Times New Roman" w:hAnsi="Times New Roman" w:cs="Times New Roman"/>
        </w:rPr>
        <w:t>niversity has contracted with the private sector SPV.</w:t>
      </w:r>
      <w:r w:rsidRPr="005F278F">
        <w:rPr>
          <w:rFonts w:ascii="Times New Roman" w:hAnsi="Times New Roman" w:cs="Times New Roman"/>
        </w:rPr>
        <w:t xml:space="preserve"> The occupancy guarantee contracted directly with the SPV supports the fact that the University acts as principal in this relationship.</w:t>
      </w:r>
    </w:p>
    <w:p w:rsidR="00B64F4D" w:rsidRPr="005F278F" w:rsidRDefault="00B64F4D" w:rsidP="00465C38">
      <w:pPr>
        <w:rPr>
          <w:rFonts w:ascii="Times New Roman" w:hAnsi="Times New Roman" w:cs="Times New Roman"/>
        </w:rPr>
      </w:pPr>
      <w:r w:rsidRPr="005F278F">
        <w:rPr>
          <w:rFonts w:ascii="Times New Roman" w:hAnsi="Times New Roman" w:cs="Times New Roman"/>
        </w:rPr>
        <w:t xml:space="preserve">In addition the University contracts directly with the students and, despite receiving a management fee for this, retains the risks associated with void and bad debts. Therefore the University also acts as principal for the rent agreement with the students. </w:t>
      </w:r>
    </w:p>
    <w:p w:rsidR="00E9169B" w:rsidRPr="005F278F" w:rsidRDefault="00E9169B" w:rsidP="00465C38">
      <w:pPr>
        <w:rPr>
          <w:rFonts w:ascii="Times New Roman" w:hAnsi="Times New Roman" w:cs="Times New Roman"/>
          <w:b/>
        </w:rPr>
      </w:pPr>
      <w:r w:rsidRPr="005F278F">
        <w:rPr>
          <w:rFonts w:ascii="Times New Roman" w:hAnsi="Times New Roman" w:cs="Times New Roman"/>
          <w:b/>
        </w:rPr>
        <w:t>2) Does the arrangement meet the definition of a service concession?</w:t>
      </w:r>
    </w:p>
    <w:p w:rsidR="0039518E" w:rsidRPr="005F278F" w:rsidRDefault="00CE678C" w:rsidP="00E9169B">
      <w:pPr>
        <w:rPr>
          <w:rFonts w:ascii="Times New Roman" w:hAnsi="Times New Roman" w:cs="Times New Roman"/>
          <w:b/>
        </w:rPr>
      </w:pPr>
      <w:r w:rsidRPr="005F278F">
        <w:rPr>
          <w:rFonts w:ascii="Times New Roman" w:hAnsi="Times New Roman" w:cs="Times New Roman"/>
          <w:b/>
        </w:rPr>
        <w:t xml:space="preserve">Yes. </w:t>
      </w:r>
    </w:p>
    <w:p w:rsidR="00E9169B" w:rsidRPr="005F278F" w:rsidRDefault="00E9169B" w:rsidP="00E9169B">
      <w:pPr>
        <w:rPr>
          <w:rFonts w:ascii="Times New Roman" w:hAnsi="Times New Roman" w:cs="Times New Roman"/>
        </w:rPr>
      </w:pPr>
      <w:r w:rsidRPr="005F278F">
        <w:rPr>
          <w:rFonts w:ascii="Times New Roman" w:hAnsi="Times New Roman" w:cs="Times New Roman"/>
        </w:rPr>
        <w:t>The University (grantor) has contracted with the private sector (operator) to construct, operate and maintain infrastructure assets (student accommodation) for a specified period of time (40 years). The operator is paid for their services. The operator is contractually obliged to provide services to the public on behalf of the University</w:t>
      </w:r>
      <w:r w:rsidR="00B43083" w:rsidRPr="005F278F">
        <w:rPr>
          <w:rFonts w:ascii="Times New Roman" w:hAnsi="Times New Roman" w:cs="Times New Roman"/>
        </w:rPr>
        <w:t>.</w:t>
      </w:r>
    </w:p>
    <w:p w:rsidR="00E9169B" w:rsidRPr="005F278F" w:rsidRDefault="00E9169B" w:rsidP="00E9169B">
      <w:pPr>
        <w:rPr>
          <w:rFonts w:ascii="Times New Roman" w:hAnsi="Times New Roman" w:cs="Times New Roman"/>
          <w:b/>
        </w:rPr>
      </w:pPr>
      <w:r w:rsidRPr="005F278F">
        <w:rPr>
          <w:rFonts w:ascii="Times New Roman" w:hAnsi="Times New Roman" w:cs="Times New Roman"/>
          <w:b/>
        </w:rPr>
        <w:t>3) Does the arrangement pass the control test in FRS102?</w:t>
      </w:r>
    </w:p>
    <w:p w:rsidR="00E9169B" w:rsidRPr="00AE3BF7" w:rsidRDefault="00E9169B" w:rsidP="00E9169B">
      <w:pPr>
        <w:autoSpaceDE w:val="0"/>
        <w:autoSpaceDN w:val="0"/>
        <w:adjustRightInd w:val="0"/>
        <w:rPr>
          <w:rFonts w:ascii="Times New Roman" w:hAnsi="Times New Roman" w:cs="Times New Roman"/>
          <w:b/>
          <w:color w:val="000000" w:themeColor="text1"/>
        </w:rPr>
      </w:pPr>
      <w:r w:rsidRPr="005F278F">
        <w:rPr>
          <w:rFonts w:ascii="Times New Roman" w:hAnsi="Times New Roman" w:cs="Times New Roman"/>
          <w:b/>
        </w:rPr>
        <w:t xml:space="preserve">a) </w:t>
      </w:r>
      <w:r w:rsidRPr="00AE3BF7">
        <w:rPr>
          <w:rFonts w:ascii="Times New Roman" w:hAnsi="Times New Roman" w:cs="Times New Roman"/>
          <w:b/>
          <w:color w:val="000000" w:themeColor="text1"/>
        </w:rPr>
        <w:t>Does the University control or regulate what services the operator must provide using the infrastructure assets, to whom, and at what price?</w:t>
      </w:r>
    </w:p>
    <w:p w:rsidR="00B64F4D" w:rsidRPr="005F278F" w:rsidRDefault="00507DCE" w:rsidP="00E9169B">
      <w:pPr>
        <w:autoSpaceDE w:val="0"/>
        <w:autoSpaceDN w:val="0"/>
        <w:adjustRightInd w:val="0"/>
        <w:rPr>
          <w:rFonts w:ascii="Times New Roman" w:hAnsi="Times New Roman" w:cs="Times New Roman"/>
          <w:b/>
          <w:color w:val="231F20"/>
        </w:rPr>
      </w:pPr>
      <w:r w:rsidRPr="005F278F">
        <w:rPr>
          <w:rFonts w:ascii="Times New Roman" w:hAnsi="Times New Roman" w:cs="Times New Roman"/>
          <w:b/>
          <w:color w:val="231F20"/>
        </w:rPr>
        <w:lastRenderedPageBreak/>
        <w:t>Yes</w:t>
      </w:r>
    </w:p>
    <w:p w:rsidR="00E9169B" w:rsidRPr="005F278F" w:rsidRDefault="0039518E" w:rsidP="00E9169B">
      <w:pPr>
        <w:rPr>
          <w:rFonts w:ascii="Times New Roman" w:hAnsi="Times New Roman" w:cs="Times New Roman"/>
        </w:rPr>
      </w:pPr>
      <w:r w:rsidRPr="005F278F">
        <w:rPr>
          <w:rFonts w:ascii="Times New Roman" w:hAnsi="Times New Roman" w:cs="Times New Roman"/>
          <w:b/>
        </w:rPr>
        <w:t>Control of s</w:t>
      </w:r>
      <w:r w:rsidR="00CE678C" w:rsidRPr="005F278F">
        <w:rPr>
          <w:rFonts w:ascii="Times New Roman" w:hAnsi="Times New Roman" w:cs="Times New Roman"/>
          <w:b/>
        </w:rPr>
        <w:t>ervices:</w:t>
      </w:r>
      <w:r w:rsidRPr="005F278F">
        <w:rPr>
          <w:rFonts w:ascii="Times New Roman" w:hAnsi="Times New Roman" w:cs="Times New Roman"/>
        </w:rPr>
        <w:t xml:space="preserve"> </w:t>
      </w:r>
      <w:r w:rsidR="00E9169B" w:rsidRPr="005F278F">
        <w:rPr>
          <w:rFonts w:ascii="Times New Roman" w:hAnsi="Times New Roman" w:cs="Times New Roman"/>
        </w:rPr>
        <w:t>The University requires the SPV to provide and maintain specific student accommodation assets</w:t>
      </w:r>
      <w:r w:rsidR="00B64F4D" w:rsidRPr="005F278F">
        <w:rPr>
          <w:rFonts w:ascii="Times New Roman" w:hAnsi="Times New Roman" w:cs="Times New Roman"/>
        </w:rPr>
        <w:t xml:space="preserve"> in accordance with a contracted service specification</w:t>
      </w:r>
      <w:r w:rsidR="00E9169B" w:rsidRPr="005F278F">
        <w:rPr>
          <w:rFonts w:ascii="Times New Roman" w:hAnsi="Times New Roman" w:cs="Times New Roman"/>
        </w:rPr>
        <w:t>.</w:t>
      </w:r>
      <w:r w:rsidR="00B64F4D" w:rsidRPr="005F278F">
        <w:rPr>
          <w:rFonts w:ascii="Times New Roman" w:hAnsi="Times New Roman" w:cs="Times New Roman"/>
        </w:rPr>
        <w:t xml:space="preserve"> </w:t>
      </w:r>
    </w:p>
    <w:p w:rsidR="00B64F4D" w:rsidRPr="005F278F" w:rsidRDefault="00CE678C" w:rsidP="00E9169B">
      <w:pPr>
        <w:rPr>
          <w:rFonts w:ascii="Times New Roman" w:hAnsi="Times New Roman" w:cs="Times New Roman"/>
        </w:rPr>
      </w:pPr>
      <w:r w:rsidRPr="005F278F">
        <w:rPr>
          <w:rFonts w:ascii="Times New Roman" w:hAnsi="Times New Roman" w:cs="Times New Roman"/>
          <w:b/>
        </w:rPr>
        <w:t>Control of who uses the asset:</w:t>
      </w:r>
      <w:r w:rsidR="0039518E" w:rsidRPr="005F278F">
        <w:rPr>
          <w:rFonts w:ascii="Times New Roman" w:hAnsi="Times New Roman" w:cs="Times New Roman"/>
        </w:rPr>
        <w:t xml:space="preserve"> </w:t>
      </w:r>
      <w:r w:rsidR="00B64F4D" w:rsidRPr="005F278F">
        <w:rPr>
          <w:rFonts w:ascii="Times New Roman" w:hAnsi="Times New Roman" w:cs="Times New Roman"/>
        </w:rPr>
        <w:t xml:space="preserve">The </w:t>
      </w:r>
      <w:r w:rsidR="00B43083" w:rsidRPr="005F278F">
        <w:rPr>
          <w:rFonts w:ascii="Times New Roman" w:hAnsi="Times New Roman" w:cs="Times New Roman"/>
        </w:rPr>
        <w:t>University</w:t>
      </w:r>
      <w:r w:rsidR="00B64F4D" w:rsidRPr="005F278F">
        <w:rPr>
          <w:rFonts w:ascii="Times New Roman" w:hAnsi="Times New Roman" w:cs="Times New Roman"/>
        </w:rPr>
        <w:t xml:space="preserve"> controls the students who use the student accommodation.</w:t>
      </w:r>
    </w:p>
    <w:p w:rsidR="00B64F4D" w:rsidRPr="005F278F" w:rsidRDefault="00CE678C" w:rsidP="00B64F4D">
      <w:pPr>
        <w:rPr>
          <w:rFonts w:ascii="Times New Roman" w:hAnsi="Times New Roman" w:cs="Times New Roman"/>
        </w:rPr>
      </w:pPr>
      <w:r w:rsidRPr="005F278F">
        <w:rPr>
          <w:rFonts w:ascii="Times New Roman" w:hAnsi="Times New Roman" w:cs="Times New Roman"/>
          <w:b/>
        </w:rPr>
        <w:t>Control of price:</w:t>
      </w:r>
      <w:r w:rsidR="0039518E" w:rsidRPr="005F278F">
        <w:rPr>
          <w:rFonts w:ascii="Times New Roman" w:hAnsi="Times New Roman" w:cs="Times New Roman"/>
        </w:rPr>
        <w:t xml:space="preserve"> </w:t>
      </w:r>
      <w:r w:rsidR="00B64F4D" w:rsidRPr="005F278F">
        <w:rPr>
          <w:rFonts w:ascii="Times New Roman" w:hAnsi="Times New Roman" w:cs="Times New Roman"/>
        </w:rPr>
        <w:t>The Minimum Rental Payment is calculated each year based on the number of rooms * the applicable percentage room occupancy for the contract year (i.e. between 69% and 90%) * the applicable letting period (42 or 51 weeks) * the rent level calculated under the contract based on a starting rent and inflators stated in the contract.</w:t>
      </w:r>
    </w:p>
    <w:p w:rsidR="00B64F4D" w:rsidRPr="005F278F" w:rsidRDefault="00B64F4D" w:rsidP="00B64F4D">
      <w:pPr>
        <w:rPr>
          <w:rFonts w:ascii="Times New Roman" w:hAnsi="Times New Roman" w:cs="Times New Roman"/>
        </w:rPr>
      </w:pPr>
      <w:r w:rsidRPr="005F278F">
        <w:rPr>
          <w:rFonts w:ascii="Times New Roman" w:hAnsi="Times New Roman" w:cs="Times New Roman"/>
        </w:rPr>
        <w:t>The presence of the contractual agreement over the service specification and price mechanism  and the fact that the University has full control over the students that occupy the accommodation means that the University does control the services the operator must provide and at what price</w:t>
      </w:r>
      <w:r w:rsidR="0039518E" w:rsidRPr="005F278F">
        <w:rPr>
          <w:rFonts w:ascii="Times New Roman" w:hAnsi="Times New Roman" w:cs="Times New Roman"/>
        </w:rPr>
        <w:t>.</w:t>
      </w:r>
    </w:p>
    <w:p w:rsidR="00E9169B" w:rsidRPr="005F278F" w:rsidRDefault="00E9169B" w:rsidP="00E9169B">
      <w:pPr>
        <w:rPr>
          <w:rFonts w:ascii="Times New Roman" w:hAnsi="Times New Roman" w:cs="Times New Roman"/>
          <w:b/>
          <w:color w:val="231F20"/>
        </w:rPr>
      </w:pPr>
      <w:r w:rsidRPr="005F278F">
        <w:rPr>
          <w:rFonts w:ascii="Times New Roman" w:hAnsi="Times New Roman" w:cs="Times New Roman"/>
          <w:b/>
          <w:color w:val="231F20"/>
        </w:rPr>
        <w:t>b) Does the grantor control, through ownership, beneficial entitlement or otherwise, any significant residual interest in the assets at the end of the term of the arrangement?</w:t>
      </w:r>
    </w:p>
    <w:p w:rsidR="00B64F4D" w:rsidRPr="005F278F" w:rsidRDefault="00B64F4D" w:rsidP="00E9169B">
      <w:pPr>
        <w:rPr>
          <w:rFonts w:ascii="Times New Roman" w:hAnsi="Times New Roman" w:cs="Times New Roman"/>
          <w:b/>
        </w:rPr>
      </w:pPr>
      <w:r w:rsidRPr="005F278F">
        <w:rPr>
          <w:rFonts w:ascii="Times New Roman" w:hAnsi="Times New Roman" w:cs="Times New Roman"/>
          <w:b/>
        </w:rPr>
        <w:t xml:space="preserve">Yes </w:t>
      </w:r>
    </w:p>
    <w:p w:rsidR="00E9169B" w:rsidRPr="005F278F" w:rsidRDefault="00B64F4D" w:rsidP="00E9169B">
      <w:pPr>
        <w:rPr>
          <w:rFonts w:ascii="Times New Roman" w:hAnsi="Times New Roman" w:cs="Times New Roman"/>
        </w:rPr>
      </w:pPr>
      <w:r w:rsidRPr="005F278F">
        <w:rPr>
          <w:rFonts w:ascii="Times New Roman" w:hAnsi="Times New Roman" w:cs="Times New Roman"/>
        </w:rPr>
        <w:t>T</w:t>
      </w:r>
      <w:r w:rsidR="00E9169B" w:rsidRPr="005F278F">
        <w:rPr>
          <w:rFonts w:ascii="Times New Roman" w:hAnsi="Times New Roman" w:cs="Times New Roman"/>
        </w:rPr>
        <w:t>he assets transfer to the University at the end of the arrangement at nil value, although the arrangement is considered to be for the whole useful life of the assets.</w:t>
      </w:r>
    </w:p>
    <w:p w:rsidR="00E9169B" w:rsidRPr="0076555B" w:rsidRDefault="00507DCE" w:rsidP="00AE3BF7">
      <w:pPr>
        <w:rPr>
          <w:rFonts w:ascii="Times New Roman" w:hAnsi="Times New Roman" w:cs="Times New Roman"/>
          <w:b/>
          <w:color w:val="002060"/>
        </w:rPr>
      </w:pPr>
      <w:r w:rsidRPr="0076555B">
        <w:rPr>
          <w:rFonts w:ascii="Times New Roman" w:hAnsi="Times New Roman" w:cs="Times New Roman"/>
          <w:b/>
          <w:color w:val="002060"/>
        </w:rPr>
        <w:t>Accounting for the scheme - h</w:t>
      </w:r>
      <w:r w:rsidR="00E9169B" w:rsidRPr="0076555B">
        <w:rPr>
          <w:rFonts w:ascii="Times New Roman" w:hAnsi="Times New Roman" w:cs="Times New Roman"/>
          <w:b/>
          <w:color w:val="002060"/>
        </w:rPr>
        <w:t>as the institution guaranteed a minimum payment to the operator?</w:t>
      </w:r>
    </w:p>
    <w:p w:rsidR="00B64F4D" w:rsidRPr="005F278F" w:rsidRDefault="00B64F4D" w:rsidP="00E9169B">
      <w:pPr>
        <w:rPr>
          <w:rFonts w:ascii="Times New Roman" w:hAnsi="Times New Roman" w:cs="Times New Roman"/>
          <w:b/>
        </w:rPr>
      </w:pPr>
      <w:r w:rsidRPr="005F278F">
        <w:rPr>
          <w:rFonts w:ascii="Times New Roman" w:hAnsi="Times New Roman" w:cs="Times New Roman"/>
          <w:b/>
        </w:rPr>
        <w:t>Yes</w:t>
      </w:r>
    </w:p>
    <w:p w:rsidR="00FD2028" w:rsidRPr="005F278F" w:rsidRDefault="00B64F4D" w:rsidP="00E9169B">
      <w:pPr>
        <w:rPr>
          <w:rFonts w:ascii="Times New Roman" w:hAnsi="Times New Roman" w:cs="Times New Roman"/>
        </w:rPr>
      </w:pPr>
      <w:r w:rsidRPr="005F278F">
        <w:rPr>
          <w:rFonts w:ascii="Times New Roman" w:hAnsi="Times New Roman" w:cs="Times New Roman"/>
        </w:rPr>
        <w:t>B</w:t>
      </w:r>
      <w:r w:rsidR="00E9169B" w:rsidRPr="005F278F">
        <w:rPr>
          <w:rFonts w:ascii="Times New Roman" w:hAnsi="Times New Roman" w:cs="Times New Roman"/>
        </w:rPr>
        <w:t>ased on guaranteed occupancy rates, regardless of the actual income earned the SPV will receive a guaranteed minimum payment.</w:t>
      </w:r>
    </w:p>
    <w:p w:rsidR="0039518E" w:rsidRPr="005F278F" w:rsidRDefault="00CE678C" w:rsidP="00E9169B">
      <w:pPr>
        <w:rPr>
          <w:rFonts w:ascii="Times New Roman" w:hAnsi="Times New Roman" w:cs="Times New Roman"/>
          <w:b/>
          <w:i/>
        </w:rPr>
      </w:pPr>
      <w:r w:rsidRPr="005F278F">
        <w:rPr>
          <w:rFonts w:ascii="Times New Roman" w:hAnsi="Times New Roman" w:cs="Times New Roman"/>
          <w:b/>
          <w:i/>
        </w:rPr>
        <w:t>Summary</w:t>
      </w:r>
    </w:p>
    <w:p w:rsidR="0039518E" w:rsidRPr="005F278F" w:rsidRDefault="00CE678C" w:rsidP="00E9169B">
      <w:pPr>
        <w:rPr>
          <w:rFonts w:ascii="Times New Roman" w:hAnsi="Times New Roman" w:cs="Times New Roman"/>
          <w:b/>
          <w:i/>
        </w:rPr>
      </w:pPr>
      <w:r w:rsidRPr="005F278F">
        <w:rPr>
          <w:rFonts w:ascii="Times New Roman" w:hAnsi="Times New Roman" w:cs="Times New Roman"/>
          <w:b/>
          <w:i/>
        </w:rPr>
        <w:t xml:space="preserve">An arrangement has to pass all the tests set out above to be a service concession arrangement. The above example passes all the tests and therefore the accounting should be considered in line with the service concession arrangement accounting requirements of the SORP. </w:t>
      </w:r>
    </w:p>
    <w:p w:rsidR="00FD2028" w:rsidRPr="005F278F" w:rsidRDefault="00FD2028" w:rsidP="00E9169B">
      <w:pPr>
        <w:rPr>
          <w:rFonts w:ascii="Times New Roman" w:hAnsi="Times New Roman" w:cs="Times New Roman"/>
          <w:b/>
        </w:rPr>
      </w:pPr>
      <w:r w:rsidRPr="005F278F">
        <w:rPr>
          <w:rFonts w:ascii="Times New Roman" w:hAnsi="Times New Roman" w:cs="Times New Roman"/>
          <w:b/>
        </w:rPr>
        <w:t>Accounting treatment under 2007 SORP</w:t>
      </w:r>
    </w:p>
    <w:p w:rsidR="00FD2028" w:rsidRPr="005F278F" w:rsidRDefault="00365572" w:rsidP="00B64F4D">
      <w:pPr>
        <w:rPr>
          <w:rFonts w:ascii="Times New Roman" w:hAnsi="Times New Roman" w:cs="Times New Roman"/>
        </w:rPr>
      </w:pPr>
      <w:r>
        <w:rPr>
          <w:rFonts w:ascii="Times New Roman" w:hAnsi="Times New Roman" w:cs="Times New Roman"/>
        </w:rPr>
        <w:t>Institutions consider schemes under</w:t>
      </w:r>
      <w:r w:rsidR="00B64F4D" w:rsidRPr="005F278F">
        <w:rPr>
          <w:rFonts w:ascii="Times New Roman" w:hAnsi="Times New Roman" w:cs="Times New Roman"/>
        </w:rPr>
        <w:t xml:space="preserve"> FRS5 application note 5, a risk and rewards based standard</w:t>
      </w:r>
      <w:r>
        <w:rPr>
          <w:rFonts w:ascii="Times New Roman" w:hAnsi="Times New Roman" w:cs="Times New Roman"/>
        </w:rPr>
        <w:t xml:space="preserve"> to conclude whether the circumstance of the individual scheme result in an on or off balance sheet treatment. In this particular example the scheme, using further detailed consideration</w:t>
      </w:r>
      <w:r w:rsidR="00614E68">
        <w:rPr>
          <w:rFonts w:ascii="Times New Roman" w:hAnsi="Times New Roman" w:cs="Times New Roman"/>
        </w:rPr>
        <w:t>s which are not repeated here,</w:t>
      </w:r>
      <w:r>
        <w:rPr>
          <w:rFonts w:ascii="Times New Roman" w:hAnsi="Times New Roman" w:cs="Times New Roman"/>
        </w:rPr>
        <w:t xml:space="preserve"> was deemed off balance sheet </w:t>
      </w:r>
      <w:r w:rsidR="00B64F4D" w:rsidRPr="005F278F">
        <w:rPr>
          <w:rFonts w:ascii="Times New Roman" w:hAnsi="Times New Roman" w:cs="Times New Roman"/>
        </w:rPr>
        <w:t xml:space="preserve">as the balance of the risks and rewards were deemed to reside with the operator. </w:t>
      </w:r>
      <w:r w:rsidR="0039518E" w:rsidRPr="005F278F">
        <w:rPr>
          <w:rFonts w:ascii="Times New Roman" w:hAnsi="Times New Roman" w:cs="Times New Roman"/>
        </w:rPr>
        <w:t xml:space="preserve">This means that amounts due to the operator are treated as an expense in the year in which they are incurred. </w:t>
      </w:r>
    </w:p>
    <w:p w:rsidR="00FD2028" w:rsidRPr="005F278F" w:rsidRDefault="00FD2028" w:rsidP="00FD2028">
      <w:pPr>
        <w:rPr>
          <w:rFonts w:ascii="Times New Roman" w:hAnsi="Times New Roman" w:cs="Times New Roman"/>
          <w:b/>
        </w:rPr>
      </w:pPr>
      <w:r w:rsidRPr="005F278F">
        <w:rPr>
          <w:rFonts w:ascii="Times New Roman" w:hAnsi="Times New Roman" w:cs="Times New Roman"/>
          <w:b/>
        </w:rPr>
        <w:t>Accounting treatment under FRS102</w:t>
      </w:r>
    </w:p>
    <w:p w:rsidR="00FD2028" w:rsidRPr="005F278F" w:rsidRDefault="0039518E" w:rsidP="00B64F4D">
      <w:pPr>
        <w:rPr>
          <w:rFonts w:ascii="Times New Roman" w:hAnsi="Times New Roman" w:cs="Times New Roman"/>
        </w:rPr>
      </w:pPr>
      <w:r w:rsidRPr="005F278F">
        <w:rPr>
          <w:rFonts w:ascii="Times New Roman" w:hAnsi="Times New Roman" w:cs="Times New Roman"/>
        </w:rPr>
        <w:lastRenderedPageBreak/>
        <w:t>“</w:t>
      </w:r>
      <w:r w:rsidR="00FD2028" w:rsidRPr="005F278F">
        <w:rPr>
          <w:rFonts w:ascii="Times New Roman" w:hAnsi="Times New Roman" w:cs="Times New Roman"/>
        </w:rPr>
        <w:t>On Balance Sheet</w:t>
      </w:r>
      <w:r w:rsidR="00B64F4D" w:rsidRPr="005F278F">
        <w:rPr>
          <w:rFonts w:ascii="Times New Roman" w:hAnsi="Times New Roman" w:cs="Times New Roman"/>
        </w:rPr>
        <w:t>.</w:t>
      </w:r>
      <w:r w:rsidRPr="005F278F">
        <w:rPr>
          <w:rFonts w:ascii="Times New Roman" w:hAnsi="Times New Roman" w:cs="Times New Roman"/>
        </w:rPr>
        <w:t>”</w:t>
      </w:r>
      <w:r w:rsidR="00B64F4D" w:rsidRPr="005F278F">
        <w:rPr>
          <w:rFonts w:ascii="Times New Roman" w:hAnsi="Times New Roman" w:cs="Times New Roman"/>
        </w:rPr>
        <w:t xml:space="preserve"> The above analysis applying the controls based standard of FRS 102 and the SORP has resulted in these arrangement being assessed as a service concession and therefore on balance at the present value of the minimum lease payments (minimum occupancy guarantee)</w:t>
      </w:r>
    </w:p>
    <w:p w:rsidR="0062700A" w:rsidRPr="005F278F" w:rsidRDefault="0062700A" w:rsidP="00FD2028">
      <w:pPr>
        <w:rPr>
          <w:rFonts w:ascii="Times New Roman" w:hAnsi="Times New Roman" w:cs="Times New Roman"/>
        </w:rPr>
      </w:pPr>
      <w:r w:rsidRPr="005F278F">
        <w:rPr>
          <w:rFonts w:ascii="Times New Roman" w:hAnsi="Times New Roman" w:cs="Times New Roman"/>
        </w:rPr>
        <w:t>In this example</w:t>
      </w:r>
      <w:r w:rsidR="00C03FA9" w:rsidRPr="005F278F">
        <w:rPr>
          <w:rFonts w:ascii="Times New Roman" w:hAnsi="Times New Roman" w:cs="Times New Roman"/>
        </w:rPr>
        <w:t>, let’s assume</w:t>
      </w:r>
      <w:r w:rsidRPr="005F278F">
        <w:rPr>
          <w:rFonts w:ascii="Times New Roman" w:hAnsi="Times New Roman" w:cs="Times New Roman"/>
        </w:rPr>
        <w:t>:</w:t>
      </w:r>
    </w:p>
    <w:p w:rsidR="0062700A" w:rsidRPr="005F278F" w:rsidRDefault="0062700A" w:rsidP="00574054">
      <w:pPr>
        <w:pStyle w:val="ListParagraph"/>
        <w:numPr>
          <w:ilvl w:val="0"/>
          <w:numId w:val="5"/>
        </w:numPr>
        <w:rPr>
          <w:rFonts w:ascii="Times New Roman" w:hAnsi="Times New Roman" w:cs="Times New Roman"/>
        </w:rPr>
      </w:pPr>
      <w:r w:rsidRPr="005F278F">
        <w:rPr>
          <w:rFonts w:ascii="Times New Roman" w:hAnsi="Times New Roman" w:cs="Times New Roman"/>
        </w:rPr>
        <w:t>Present value of the future minimum lease payments is £1</w:t>
      </w:r>
      <w:r w:rsidR="00EE4627" w:rsidRPr="005F278F">
        <w:rPr>
          <w:rFonts w:ascii="Times New Roman" w:hAnsi="Times New Roman" w:cs="Times New Roman"/>
        </w:rPr>
        <w:t>45</w:t>
      </w:r>
      <w:r w:rsidRPr="005F278F">
        <w:rPr>
          <w:rFonts w:ascii="Times New Roman" w:hAnsi="Times New Roman" w:cs="Times New Roman"/>
        </w:rPr>
        <w:t>m</w:t>
      </w:r>
      <w:r w:rsidR="00B43083" w:rsidRPr="005F278F">
        <w:rPr>
          <w:rFonts w:ascii="Times New Roman" w:hAnsi="Times New Roman" w:cs="Times New Roman"/>
        </w:rPr>
        <w:t>.</w:t>
      </w:r>
    </w:p>
    <w:p w:rsidR="0062700A" w:rsidRPr="005F278F" w:rsidRDefault="0062700A" w:rsidP="00574054">
      <w:pPr>
        <w:pStyle w:val="ListParagraph"/>
        <w:numPr>
          <w:ilvl w:val="0"/>
          <w:numId w:val="5"/>
        </w:numPr>
        <w:rPr>
          <w:rFonts w:ascii="Times New Roman" w:hAnsi="Times New Roman" w:cs="Times New Roman"/>
        </w:rPr>
      </w:pPr>
      <w:r w:rsidRPr="005F278F">
        <w:rPr>
          <w:rFonts w:ascii="Times New Roman" w:hAnsi="Times New Roman" w:cs="Times New Roman"/>
        </w:rPr>
        <w:t>The building has a useful life of 40 years.</w:t>
      </w:r>
      <w:r w:rsidR="001F5A7B" w:rsidRPr="005F278F">
        <w:rPr>
          <w:rFonts w:ascii="Times New Roman" w:hAnsi="Times New Roman" w:cs="Times New Roman"/>
        </w:rPr>
        <w:t xml:space="preserve"> Straight line depreciation is used.</w:t>
      </w:r>
    </w:p>
    <w:p w:rsidR="00932193" w:rsidRPr="005F278F" w:rsidRDefault="0062700A" w:rsidP="00574054">
      <w:pPr>
        <w:pStyle w:val="ListParagraph"/>
        <w:numPr>
          <w:ilvl w:val="0"/>
          <w:numId w:val="5"/>
        </w:numPr>
        <w:rPr>
          <w:rFonts w:ascii="Times New Roman" w:hAnsi="Times New Roman" w:cs="Times New Roman"/>
        </w:rPr>
      </w:pPr>
      <w:r w:rsidRPr="005F278F">
        <w:rPr>
          <w:rFonts w:ascii="Times New Roman" w:hAnsi="Times New Roman" w:cs="Times New Roman"/>
        </w:rPr>
        <w:t>The Uni</w:t>
      </w:r>
      <w:r w:rsidR="00932193" w:rsidRPr="005F278F">
        <w:rPr>
          <w:rFonts w:ascii="Times New Roman" w:hAnsi="Times New Roman" w:cs="Times New Roman"/>
        </w:rPr>
        <w:t>versity guarantee occupancy at 9</w:t>
      </w:r>
      <w:r w:rsidRPr="005F278F">
        <w:rPr>
          <w:rFonts w:ascii="Times New Roman" w:hAnsi="Times New Roman" w:cs="Times New Roman"/>
        </w:rPr>
        <w:t>0%</w:t>
      </w:r>
      <w:r w:rsidR="00EE4627" w:rsidRPr="005F278F">
        <w:rPr>
          <w:rFonts w:ascii="Times New Roman" w:hAnsi="Times New Roman" w:cs="Times New Roman"/>
        </w:rPr>
        <w:t xml:space="preserve"> reducing to 69% over 40 years</w:t>
      </w:r>
      <w:r w:rsidR="00B43083" w:rsidRPr="005F278F">
        <w:rPr>
          <w:rFonts w:ascii="Times New Roman" w:hAnsi="Times New Roman" w:cs="Times New Roman"/>
        </w:rPr>
        <w:t>.</w:t>
      </w:r>
      <w:r w:rsidRPr="005F278F">
        <w:rPr>
          <w:rFonts w:ascii="Times New Roman" w:hAnsi="Times New Roman" w:cs="Times New Roman"/>
        </w:rPr>
        <w:t xml:space="preserve"> </w:t>
      </w:r>
    </w:p>
    <w:p w:rsidR="0062700A" w:rsidRPr="005F278F" w:rsidRDefault="0062700A" w:rsidP="00574054">
      <w:pPr>
        <w:pStyle w:val="ListParagraph"/>
        <w:numPr>
          <w:ilvl w:val="0"/>
          <w:numId w:val="5"/>
        </w:numPr>
        <w:rPr>
          <w:rFonts w:ascii="Times New Roman" w:hAnsi="Times New Roman" w:cs="Times New Roman"/>
        </w:rPr>
      </w:pPr>
      <w:r w:rsidRPr="005F278F">
        <w:rPr>
          <w:rFonts w:ascii="Times New Roman" w:hAnsi="Times New Roman" w:cs="Times New Roman"/>
        </w:rPr>
        <w:t>In y</w:t>
      </w:r>
      <w:r w:rsidR="00560F51" w:rsidRPr="005F278F">
        <w:rPr>
          <w:rFonts w:ascii="Times New Roman" w:hAnsi="Times New Roman" w:cs="Times New Roman"/>
        </w:rPr>
        <w:t>ear 1 the University receiv</w:t>
      </w:r>
      <w:r w:rsidR="00B829CC" w:rsidRPr="005F278F">
        <w:rPr>
          <w:rFonts w:ascii="Times New Roman" w:hAnsi="Times New Roman" w:cs="Times New Roman"/>
        </w:rPr>
        <w:t>es a total student income of £10</w:t>
      </w:r>
      <w:r w:rsidRPr="005F278F">
        <w:rPr>
          <w:rFonts w:ascii="Times New Roman" w:hAnsi="Times New Roman" w:cs="Times New Roman"/>
        </w:rPr>
        <w:t>m</w:t>
      </w:r>
      <w:r w:rsidR="00B829CC" w:rsidRPr="005F278F">
        <w:rPr>
          <w:rFonts w:ascii="Times New Roman" w:hAnsi="Times New Roman" w:cs="Times New Roman"/>
        </w:rPr>
        <w:t xml:space="preserve"> and has 100% occupancy</w:t>
      </w:r>
      <w:r w:rsidR="00B43083" w:rsidRPr="005F278F">
        <w:rPr>
          <w:rFonts w:ascii="Times New Roman" w:hAnsi="Times New Roman" w:cs="Times New Roman"/>
        </w:rPr>
        <w:t>.</w:t>
      </w:r>
    </w:p>
    <w:p w:rsidR="00574054" w:rsidRPr="005F278F" w:rsidRDefault="00574054" w:rsidP="00574054">
      <w:pPr>
        <w:pStyle w:val="ListParagraph"/>
        <w:numPr>
          <w:ilvl w:val="0"/>
          <w:numId w:val="5"/>
        </w:numPr>
        <w:rPr>
          <w:rFonts w:ascii="Times New Roman" w:hAnsi="Times New Roman" w:cs="Times New Roman"/>
        </w:rPr>
      </w:pPr>
      <w:r w:rsidRPr="005F278F">
        <w:rPr>
          <w:rFonts w:ascii="Times New Roman" w:hAnsi="Times New Roman" w:cs="Times New Roman"/>
        </w:rPr>
        <w:t xml:space="preserve">The finance charge associated with the arrangement is </w:t>
      </w:r>
      <w:r w:rsidR="00EE4627" w:rsidRPr="005F278F">
        <w:rPr>
          <w:rFonts w:ascii="Times New Roman" w:hAnsi="Times New Roman" w:cs="Times New Roman"/>
        </w:rPr>
        <w:t>5</w:t>
      </w:r>
      <w:r w:rsidRPr="005F278F">
        <w:rPr>
          <w:rFonts w:ascii="Times New Roman" w:hAnsi="Times New Roman" w:cs="Times New Roman"/>
        </w:rPr>
        <w:t>%</w:t>
      </w:r>
      <w:r w:rsidR="00560F51" w:rsidRPr="005F278F">
        <w:rPr>
          <w:rFonts w:ascii="Times New Roman" w:hAnsi="Times New Roman" w:cs="Times New Roman"/>
        </w:rPr>
        <w:t xml:space="preserve"> calculated using the effective interest method in line with FRS102</w:t>
      </w:r>
      <w:r w:rsidRPr="005F278F">
        <w:rPr>
          <w:rFonts w:ascii="Times New Roman" w:hAnsi="Times New Roman" w:cs="Times New Roman"/>
        </w:rPr>
        <w:t>.</w:t>
      </w:r>
      <w:r w:rsidR="00560F51" w:rsidRPr="005F278F">
        <w:rPr>
          <w:rFonts w:ascii="Times New Roman" w:hAnsi="Times New Roman" w:cs="Times New Roman"/>
        </w:rPr>
        <w:t xml:space="preserve"> In order to derive this value the University should use the expected return that the SPV expects to receive throughout the arrangement.</w:t>
      </w:r>
      <w:r w:rsidR="005E11DC" w:rsidRPr="005F278F">
        <w:rPr>
          <w:rFonts w:ascii="Times New Roman" w:hAnsi="Times New Roman" w:cs="Times New Roman"/>
        </w:rPr>
        <w:t xml:space="preserve"> The effective interest rate is the rate which, when applied to the rental streams, results in the liability reducing to nil at the end of the rental guarantee period. </w:t>
      </w:r>
    </w:p>
    <w:p w:rsidR="00B829CC" w:rsidRPr="005F278F" w:rsidRDefault="00560F51" w:rsidP="005F278F">
      <w:pPr>
        <w:pStyle w:val="ListParagraph"/>
        <w:numPr>
          <w:ilvl w:val="0"/>
          <w:numId w:val="5"/>
        </w:numPr>
        <w:rPr>
          <w:rFonts w:ascii="Times New Roman" w:hAnsi="Times New Roman" w:cs="Times New Roman"/>
        </w:rPr>
      </w:pPr>
      <w:r w:rsidRPr="005F278F">
        <w:rPr>
          <w:rFonts w:ascii="Times New Roman" w:hAnsi="Times New Roman" w:cs="Times New Roman"/>
        </w:rPr>
        <w:t>In this example we have ignored the 3% management fee which would be income to the University.</w:t>
      </w:r>
    </w:p>
    <w:p w:rsidR="001F5A7B" w:rsidRPr="005F278F" w:rsidRDefault="001F5A7B" w:rsidP="00FD2028">
      <w:pPr>
        <w:rPr>
          <w:rFonts w:ascii="Times New Roman" w:hAnsi="Times New Roman" w:cs="Times New Roman"/>
          <w:b/>
        </w:rPr>
      </w:pPr>
      <w:r w:rsidRPr="005F278F">
        <w:rPr>
          <w:rFonts w:ascii="Times New Roman" w:hAnsi="Times New Roman" w:cs="Times New Roman"/>
          <w:b/>
        </w:rPr>
        <w:t>To bring the asset on balance sheet</w:t>
      </w:r>
    </w:p>
    <w:p w:rsidR="00560F51" w:rsidRPr="005F278F" w:rsidRDefault="00560F51" w:rsidP="00560F51">
      <w:pPr>
        <w:rPr>
          <w:rFonts w:ascii="Times New Roman" w:hAnsi="Times New Roman" w:cs="Times New Roman"/>
        </w:rPr>
      </w:pPr>
      <w:r w:rsidRPr="005F278F">
        <w:rPr>
          <w:rFonts w:ascii="Times New Roman" w:hAnsi="Times New Roman" w:cs="Times New Roman"/>
        </w:rPr>
        <w:t xml:space="preserve">Dr Asset (Property, Plant and Equipment) </w:t>
      </w:r>
      <w:r w:rsidRPr="005F278F">
        <w:rPr>
          <w:rFonts w:ascii="Times New Roman" w:hAnsi="Times New Roman" w:cs="Times New Roman"/>
        </w:rPr>
        <w:tab/>
      </w:r>
      <w:r w:rsidR="00507DCE" w:rsidRPr="005F278F">
        <w:rPr>
          <w:rFonts w:ascii="Times New Roman" w:hAnsi="Times New Roman" w:cs="Times New Roman"/>
        </w:rPr>
        <w:tab/>
      </w:r>
      <w:r w:rsidR="001F5A7B" w:rsidRPr="005F278F">
        <w:rPr>
          <w:rFonts w:ascii="Times New Roman" w:hAnsi="Times New Roman" w:cs="Times New Roman"/>
        </w:rPr>
        <w:t>£1</w:t>
      </w:r>
      <w:r w:rsidR="00EE4627" w:rsidRPr="005F278F">
        <w:rPr>
          <w:rFonts w:ascii="Times New Roman" w:hAnsi="Times New Roman" w:cs="Times New Roman"/>
        </w:rPr>
        <w:t>45</w:t>
      </w:r>
      <w:r w:rsidR="001F5A7B" w:rsidRPr="005F278F">
        <w:rPr>
          <w:rFonts w:ascii="Times New Roman" w:hAnsi="Times New Roman" w:cs="Times New Roman"/>
        </w:rPr>
        <w:t>m</w:t>
      </w:r>
    </w:p>
    <w:p w:rsidR="001F5A7B" w:rsidRPr="005F278F" w:rsidRDefault="00742426" w:rsidP="00560F51">
      <w:pPr>
        <w:ind w:firstLine="720"/>
        <w:rPr>
          <w:rFonts w:ascii="Times New Roman" w:hAnsi="Times New Roman" w:cs="Times New Roman"/>
        </w:rPr>
      </w:pPr>
      <w:r w:rsidRPr="005F278F">
        <w:rPr>
          <w:rFonts w:ascii="Times New Roman" w:hAnsi="Times New Roman" w:cs="Times New Roman"/>
        </w:rPr>
        <w:t>Cr</w:t>
      </w:r>
      <w:r w:rsidR="001F5A7B" w:rsidRPr="005F278F">
        <w:rPr>
          <w:rFonts w:ascii="Times New Roman" w:hAnsi="Times New Roman" w:cs="Times New Roman"/>
        </w:rPr>
        <w:t xml:space="preserve"> </w:t>
      </w:r>
      <w:r w:rsidR="00560F51" w:rsidRPr="005F278F">
        <w:rPr>
          <w:rFonts w:ascii="Times New Roman" w:hAnsi="Times New Roman" w:cs="Times New Roman"/>
        </w:rPr>
        <w:t>Financial Liability</w:t>
      </w:r>
      <w:r w:rsidR="00560F51" w:rsidRPr="005F278F">
        <w:rPr>
          <w:rFonts w:ascii="Times New Roman" w:hAnsi="Times New Roman" w:cs="Times New Roman"/>
        </w:rPr>
        <w:tab/>
      </w:r>
      <w:r w:rsidR="00560F51" w:rsidRPr="005F278F">
        <w:rPr>
          <w:rFonts w:ascii="Times New Roman" w:hAnsi="Times New Roman" w:cs="Times New Roman"/>
        </w:rPr>
        <w:tab/>
      </w:r>
      <w:r w:rsidR="00560F51" w:rsidRPr="005F278F">
        <w:rPr>
          <w:rFonts w:ascii="Times New Roman" w:hAnsi="Times New Roman" w:cs="Times New Roman"/>
        </w:rPr>
        <w:tab/>
      </w:r>
      <w:r w:rsidR="00560F51" w:rsidRPr="005F278F">
        <w:rPr>
          <w:rFonts w:ascii="Times New Roman" w:hAnsi="Times New Roman" w:cs="Times New Roman"/>
        </w:rPr>
        <w:tab/>
      </w:r>
      <w:r w:rsidR="00B829CC" w:rsidRPr="005F278F">
        <w:rPr>
          <w:rFonts w:ascii="Times New Roman" w:hAnsi="Times New Roman" w:cs="Times New Roman"/>
        </w:rPr>
        <w:t>(</w:t>
      </w:r>
      <w:r w:rsidR="001F5A7B" w:rsidRPr="005F278F">
        <w:rPr>
          <w:rFonts w:ascii="Times New Roman" w:hAnsi="Times New Roman" w:cs="Times New Roman"/>
        </w:rPr>
        <w:t>£1</w:t>
      </w:r>
      <w:r w:rsidR="00EE4627" w:rsidRPr="005F278F">
        <w:rPr>
          <w:rFonts w:ascii="Times New Roman" w:hAnsi="Times New Roman" w:cs="Times New Roman"/>
        </w:rPr>
        <w:t>45</w:t>
      </w:r>
      <w:r w:rsidR="001F5A7B" w:rsidRPr="005F278F">
        <w:rPr>
          <w:rFonts w:ascii="Times New Roman" w:hAnsi="Times New Roman" w:cs="Times New Roman"/>
        </w:rPr>
        <w:t>m</w:t>
      </w:r>
      <w:r w:rsidR="00B829CC" w:rsidRPr="005F278F">
        <w:rPr>
          <w:rFonts w:ascii="Times New Roman" w:hAnsi="Times New Roman" w:cs="Times New Roman"/>
        </w:rPr>
        <w:t>)</w:t>
      </w:r>
    </w:p>
    <w:p w:rsidR="00507DCE" w:rsidRPr="00AE3BF7" w:rsidRDefault="00C03FA9" w:rsidP="001F5A7B">
      <w:pPr>
        <w:rPr>
          <w:rFonts w:ascii="Times New Roman" w:hAnsi="Times New Roman" w:cs="Times New Roman"/>
          <w:i/>
        </w:rPr>
      </w:pPr>
      <w:r w:rsidRPr="005F278F">
        <w:rPr>
          <w:rFonts w:ascii="Times New Roman" w:hAnsi="Times New Roman" w:cs="Times New Roman"/>
          <w:i/>
        </w:rPr>
        <w:t>The asset comes on balance sheet at t</w:t>
      </w:r>
      <w:r w:rsidR="00AE3BF7">
        <w:rPr>
          <w:rFonts w:ascii="Times New Roman" w:hAnsi="Times New Roman" w:cs="Times New Roman"/>
          <w:i/>
        </w:rPr>
        <w:t>he present value of the minimum</w:t>
      </w:r>
      <w:r w:rsidR="00507DCE" w:rsidRPr="005F278F">
        <w:rPr>
          <w:rFonts w:ascii="Times New Roman" w:hAnsi="Times New Roman" w:cs="Times New Roman"/>
          <w:i/>
        </w:rPr>
        <w:t xml:space="preserve"> </w:t>
      </w:r>
      <w:r w:rsidRPr="005F278F">
        <w:rPr>
          <w:rFonts w:ascii="Times New Roman" w:hAnsi="Times New Roman" w:cs="Times New Roman"/>
          <w:i/>
        </w:rPr>
        <w:t>lease payments. The discount rate used should be the one inherent in the scheme.</w:t>
      </w:r>
      <w:r w:rsidR="007B0BD2">
        <w:rPr>
          <w:rFonts w:ascii="Times New Roman" w:hAnsi="Times New Roman" w:cs="Times New Roman"/>
          <w:i/>
        </w:rPr>
        <w:t xml:space="preserve"> – See (a</w:t>
      </w:r>
      <w:r w:rsidR="00AE3BF7">
        <w:rPr>
          <w:rFonts w:ascii="Times New Roman" w:hAnsi="Times New Roman" w:cs="Times New Roman"/>
          <w:i/>
        </w:rPr>
        <w:t>)</w:t>
      </w:r>
      <w:r w:rsidR="007B0BD2">
        <w:rPr>
          <w:rFonts w:ascii="Times New Roman" w:hAnsi="Times New Roman" w:cs="Times New Roman"/>
          <w:i/>
        </w:rPr>
        <w:t xml:space="preserve"> at the end </w:t>
      </w:r>
      <w:r w:rsidR="00AE3BF7">
        <w:rPr>
          <w:rFonts w:ascii="Times New Roman" w:hAnsi="Times New Roman" w:cs="Times New Roman"/>
          <w:i/>
        </w:rPr>
        <w:t xml:space="preserve"> for further details</w:t>
      </w:r>
    </w:p>
    <w:p w:rsidR="00C03FA9" w:rsidRPr="005F278F" w:rsidRDefault="00C03FA9" w:rsidP="001F5A7B">
      <w:pPr>
        <w:rPr>
          <w:rFonts w:ascii="Times New Roman" w:hAnsi="Times New Roman" w:cs="Times New Roman"/>
        </w:rPr>
      </w:pPr>
      <w:r w:rsidRPr="005F278F">
        <w:rPr>
          <w:rFonts w:ascii="Times New Roman" w:hAnsi="Times New Roman" w:cs="Times New Roman"/>
          <w:b/>
        </w:rPr>
        <w:t xml:space="preserve">To account for year one income in excess of the </w:t>
      </w:r>
      <w:r w:rsidR="00B829CC" w:rsidRPr="005F278F">
        <w:rPr>
          <w:rFonts w:ascii="Times New Roman" w:hAnsi="Times New Roman" w:cs="Times New Roman"/>
          <w:b/>
        </w:rPr>
        <w:t xml:space="preserve">occupancy </w:t>
      </w:r>
      <w:r w:rsidRPr="005F278F">
        <w:rPr>
          <w:rFonts w:ascii="Times New Roman" w:hAnsi="Times New Roman" w:cs="Times New Roman"/>
          <w:b/>
        </w:rPr>
        <w:t>guarantee</w:t>
      </w:r>
      <w:r w:rsidRPr="005F278F">
        <w:rPr>
          <w:rFonts w:ascii="Times New Roman" w:hAnsi="Times New Roman" w:cs="Times New Roman"/>
        </w:rPr>
        <w:t>:</w:t>
      </w:r>
    </w:p>
    <w:p w:rsidR="00574054" w:rsidRPr="005F278F" w:rsidRDefault="00B829CC" w:rsidP="00560F51">
      <w:pPr>
        <w:rPr>
          <w:rFonts w:ascii="Times New Roman" w:hAnsi="Times New Roman" w:cs="Times New Roman"/>
        </w:rPr>
      </w:pPr>
      <w:r w:rsidRPr="005F278F">
        <w:rPr>
          <w:rFonts w:ascii="Times New Roman" w:hAnsi="Times New Roman" w:cs="Times New Roman"/>
        </w:rPr>
        <w:t>D</w:t>
      </w:r>
      <w:r w:rsidR="00742426" w:rsidRPr="005F278F">
        <w:rPr>
          <w:rFonts w:ascii="Times New Roman" w:hAnsi="Times New Roman" w:cs="Times New Roman"/>
        </w:rPr>
        <w:t>r</w:t>
      </w:r>
      <w:r w:rsidR="00560F51" w:rsidRPr="005F278F">
        <w:rPr>
          <w:rFonts w:ascii="Times New Roman" w:hAnsi="Times New Roman" w:cs="Times New Roman"/>
        </w:rPr>
        <w:t xml:space="preserve"> Cash</w:t>
      </w:r>
      <w:r w:rsidR="00560F51" w:rsidRPr="005F278F">
        <w:rPr>
          <w:rFonts w:ascii="Times New Roman" w:hAnsi="Times New Roman" w:cs="Times New Roman"/>
        </w:rPr>
        <w:tab/>
      </w:r>
      <w:r w:rsidR="00560F51"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00932193" w:rsidRPr="005F278F">
        <w:rPr>
          <w:rFonts w:ascii="Times New Roman" w:hAnsi="Times New Roman" w:cs="Times New Roman"/>
        </w:rPr>
        <w:t>£1</w:t>
      </w:r>
      <w:r w:rsidR="00574054" w:rsidRPr="005F278F">
        <w:rPr>
          <w:rFonts w:ascii="Times New Roman" w:hAnsi="Times New Roman" w:cs="Times New Roman"/>
        </w:rPr>
        <w:t>m</w:t>
      </w:r>
    </w:p>
    <w:p w:rsidR="00C03FA9" w:rsidRPr="005F278F" w:rsidRDefault="00B829CC" w:rsidP="00B829CC">
      <w:pPr>
        <w:ind w:firstLine="720"/>
        <w:rPr>
          <w:rFonts w:ascii="Times New Roman" w:hAnsi="Times New Roman" w:cs="Times New Roman"/>
        </w:rPr>
      </w:pPr>
      <w:r w:rsidRPr="005F278F">
        <w:rPr>
          <w:rFonts w:ascii="Times New Roman" w:hAnsi="Times New Roman" w:cs="Times New Roman"/>
        </w:rPr>
        <w:t>C</w:t>
      </w:r>
      <w:r w:rsidR="00742426" w:rsidRPr="005F278F">
        <w:rPr>
          <w:rFonts w:ascii="Times New Roman" w:hAnsi="Times New Roman" w:cs="Times New Roman"/>
        </w:rPr>
        <w:t>r</w:t>
      </w:r>
      <w:r w:rsidR="00932193" w:rsidRPr="005F278F">
        <w:rPr>
          <w:rFonts w:ascii="Times New Roman" w:hAnsi="Times New Roman" w:cs="Times New Roman"/>
        </w:rPr>
        <w:t xml:space="preserve"> Income</w:t>
      </w:r>
      <w:r w:rsidRPr="005F278F">
        <w:rPr>
          <w:rFonts w:ascii="Times New Roman" w:hAnsi="Times New Roman" w:cs="Times New Roman"/>
        </w:rPr>
        <w:t xml:space="preserve"> (residence income)</w:t>
      </w:r>
      <w:r w:rsidR="00742426" w:rsidRPr="005F278F">
        <w:rPr>
          <w:rFonts w:ascii="Times New Roman" w:hAnsi="Times New Roman" w:cs="Times New Roman"/>
        </w:rPr>
        <w:tab/>
      </w:r>
      <w:r w:rsidRPr="005F278F">
        <w:rPr>
          <w:rFonts w:ascii="Times New Roman" w:hAnsi="Times New Roman" w:cs="Times New Roman"/>
        </w:rPr>
        <w:t>(</w:t>
      </w:r>
      <w:r w:rsidR="00932193" w:rsidRPr="005F278F">
        <w:rPr>
          <w:rFonts w:ascii="Times New Roman" w:hAnsi="Times New Roman" w:cs="Times New Roman"/>
        </w:rPr>
        <w:t>£1</w:t>
      </w:r>
      <w:r w:rsidR="00C03FA9" w:rsidRPr="005F278F">
        <w:rPr>
          <w:rFonts w:ascii="Times New Roman" w:hAnsi="Times New Roman" w:cs="Times New Roman"/>
        </w:rPr>
        <w:t>m</w:t>
      </w:r>
      <w:r w:rsidRPr="005F278F">
        <w:rPr>
          <w:rFonts w:ascii="Times New Roman" w:hAnsi="Times New Roman" w:cs="Times New Roman"/>
        </w:rPr>
        <w:t>)</w:t>
      </w:r>
    </w:p>
    <w:p w:rsidR="00574054" w:rsidRPr="005F278F" w:rsidRDefault="00742426" w:rsidP="00B829CC">
      <w:pPr>
        <w:ind w:firstLine="720"/>
        <w:rPr>
          <w:rFonts w:ascii="Times New Roman" w:hAnsi="Times New Roman" w:cs="Times New Roman"/>
        </w:rPr>
      </w:pPr>
      <w:r w:rsidRPr="005F278F">
        <w:rPr>
          <w:rFonts w:ascii="Times New Roman" w:hAnsi="Times New Roman" w:cs="Times New Roman"/>
        </w:rPr>
        <w:t>Cr</w:t>
      </w:r>
      <w:r w:rsidR="00B829CC" w:rsidRPr="005F278F">
        <w:rPr>
          <w:rFonts w:ascii="Times New Roman" w:hAnsi="Times New Roman" w:cs="Times New Roman"/>
        </w:rPr>
        <w:t xml:space="preserve"> Cash</w:t>
      </w:r>
      <w:r w:rsidRPr="005F278F">
        <w:rPr>
          <w:rFonts w:ascii="Times New Roman" w:hAnsi="Times New Roman" w:cs="Times New Roman"/>
        </w:rPr>
        <w:tab/>
      </w:r>
      <w:r w:rsidRPr="005F278F">
        <w:rPr>
          <w:rFonts w:ascii="Times New Roman" w:hAnsi="Times New Roman" w:cs="Times New Roman"/>
        </w:rPr>
        <w:tab/>
      </w:r>
      <w:r w:rsidR="00B829CC" w:rsidRPr="005F278F">
        <w:rPr>
          <w:rFonts w:ascii="Times New Roman" w:hAnsi="Times New Roman" w:cs="Times New Roman"/>
        </w:rPr>
        <w:tab/>
      </w:r>
      <w:r w:rsidR="00B829CC" w:rsidRPr="005F278F">
        <w:rPr>
          <w:rFonts w:ascii="Times New Roman" w:hAnsi="Times New Roman" w:cs="Times New Roman"/>
        </w:rPr>
        <w:tab/>
        <w:t>(</w:t>
      </w:r>
      <w:r w:rsidR="00932193" w:rsidRPr="005F278F">
        <w:rPr>
          <w:rFonts w:ascii="Times New Roman" w:hAnsi="Times New Roman" w:cs="Times New Roman"/>
        </w:rPr>
        <w:t>£1</w:t>
      </w:r>
      <w:r w:rsidR="00574054" w:rsidRPr="005F278F">
        <w:rPr>
          <w:rFonts w:ascii="Times New Roman" w:hAnsi="Times New Roman" w:cs="Times New Roman"/>
        </w:rPr>
        <w:t>m</w:t>
      </w:r>
      <w:r w:rsidR="00B829CC" w:rsidRPr="005F278F">
        <w:rPr>
          <w:rFonts w:ascii="Times New Roman" w:hAnsi="Times New Roman" w:cs="Times New Roman"/>
        </w:rPr>
        <w:t>)</w:t>
      </w:r>
    </w:p>
    <w:p w:rsidR="00C03FA9" w:rsidRPr="005F278F" w:rsidRDefault="00574054" w:rsidP="00B829CC">
      <w:pPr>
        <w:rPr>
          <w:rFonts w:ascii="Times New Roman" w:hAnsi="Times New Roman" w:cs="Times New Roman"/>
        </w:rPr>
      </w:pPr>
      <w:r w:rsidRPr="005F278F">
        <w:rPr>
          <w:rFonts w:ascii="Times New Roman" w:hAnsi="Times New Roman" w:cs="Times New Roman"/>
        </w:rPr>
        <w:t>D</w:t>
      </w:r>
      <w:r w:rsidR="00742426" w:rsidRPr="005F278F">
        <w:rPr>
          <w:rFonts w:ascii="Times New Roman" w:hAnsi="Times New Roman" w:cs="Times New Roman"/>
        </w:rPr>
        <w:t>r</w:t>
      </w:r>
      <w:r w:rsidR="00932193" w:rsidRPr="005F278F">
        <w:rPr>
          <w:rFonts w:ascii="Times New Roman" w:hAnsi="Times New Roman" w:cs="Times New Roman"/>
        </w:rPr>
        <w:t xml:space="preserve"> Expense</w:t>
      </w:r>
      <w:r w:rsidR="00B829CC" w:rsidRPr="005F278F">
        <w:rPr>
          <w:rFonts w:ascii="Times New Roman" w:hAnsi="Times New Roman" w:cs="Times New Roman"/>
        </w:rPr>
        <w:t>s</w:t>
      </w:r>
      <w:r w:rsidR="00932193" w:rsidRPr="005F278F">
        <w:rPr>
          <w:rFonts w:ascii="Times New Roman" w:hAnsi="Times New Roman" w:cs="Times New Roman"/>
        </w:rPr>
        <w:t xml:space="preserve"> </w:t>
      </w:r>
      <w:r w:rsidR="00B829CC" w:rsidRPr="005F278F">
        <w:rPr>
          <w:rFonts w:ascii="Times New Roman" w:hAnsi="Times New Roman" w:cs="Times New Roman"/>
        </w:rPr>
        <w:t>(payment to SPV)</w:t>
      </w:r>
      <w:r w:rsidR="00742426" w:rsidRPr="005F278F">
        <w:rPr>
          <w:rFonts w:ascii="Times New Roman" w:hAnsi="Times New Roman" w:cs="Times New Roman"/>
        </w:rPr>
        <w:tab/>
      </w:r>
      <w:r w:rsidR="00B829CC" w:rsidRPr="005F278F">
        <w:rPr>
          <w:rFonts w:ascii="Times New Roman" w:hAnsi="Times New Roman" w:cs="Times New Roman"/>
        </w:rPr>
        <w:tab/>
      </w:r>
      <w:r w:rsidR="00932193" w:rsidRPr="005F278F">
        <w:rPr>
          <w:rFonts w:ascii="Times New Roman" w:hAnsi="Times New Roman" w:cs="Times New Roman"/>
        </w:rPr>
        <w:t>£1</w:t>
      </w:r>
      <w:r w:rsidR="00C03FA9" w:rsidRPr="005F278F">
        <w:rPr>
          <w:rFonts w:ascii="Times New Roman" w:hAnsi="Times New Roman" w:cs="Times New Roman"/>
        </w:rPr>
        <w:t>m</w:t>
      </w:r>
    </w:p>
    <w:p w:rsidR="00C03FA9" w:rsidRPr="005F278F" w:rsidRDefault="00C03FA9" w:rsidP="001F5A7B">
      <w:pPr>
        <w:rPr>
          <w:rFonts w:ascii="Times New Roman" w:hAnsi="Times New Roman" w:cs="Times New Roman"/>
          <w:i/>
        </w:rPr>
      </w:pPr>
      <w:r w:rsidRPr="005F278F">
        <w:rPr>
          <w:rFonts w:ascii="Times New Roman" w:hAnsi="Times New Roman" w:cs="Times New Roman"/>
          <w:i/>
        </w:rPr>
        <w:t>To reflect the income received from students and paid over to the SPV.</w:t>
      </w:r>
      <w:r w:rsidR="00932193" w:rsidRPr="005F278F">
        <w:rPr>
          <w:rFonts w:ascii="Times New Roman" w:hAnsi="Times New Roman" w:cs="Times New Roman"/>
          <w:i/>
        </w:rPr>
        <w:t xml:space="preserve"> 90% of occupancy is guaranteed therefore £1m has been received in excess of the guaranteed </w:t>
      </w:r>
      <w:r w:rsidR="00B43083" w:rsidRPr="005F278F">
        <w:rPr>
          <w:rFonts w:ascii="Times New Roman" w:hAnsi="Times New Roman" w:cs="Times New Roman"/>
          <w:i/>
        </w:rPr>
        <w:t>amount. This</w:t>
      </w:r>
      <w:r w:rsidR="00F13684" w:rsidRPr="005F278F">
        <w:rPr>
          <w:rFonts w:ascii="Times New Roman" w:hAnsi="Times New Roman" w:cs="Times New Roman"/>
          <w:i/>
        </w:rPr>
        <w:t xml:space="preserve"> can be considered as contingent rental in accordance with the leasing requirements of FRS102 and therefore only recognised when received. </w:t>
      </w:r>
    </w:p>
    <w:p w:rsidR="0062700A" w:rsidRPr="005F278F" w:rsidRDefault="00574054" w:rsidP="00FD2028">
      <w:pPr>
        <w:rPr>
          <w:rFonts w:ascii="Times New Roman" w:hAnsi="Times New Roman" w:cs="Times New Roman"/>
        </w:rPr>
      </w:pPr>
      <w:r w:rsidRPr="005F278F">
        <w:rPr>
          <w:rFonts w:ascii="Times New Roman" w:hAnsi="Times New Roman" w:cs="Times New Roman"/>
          <w:b/>
        </w:rPr>
        <w:t>The asset is subject to depreciation on a straight-line basis over 40 years</w:t>
      </w:r>
      <w:r w:rsidRPr="005F278F">
        <w:rPr>
          <w:rFonts w:ascii="Times New Roman" w:hAnsi="Times New Roman" w:cs="Times New Roman"/>
        </w:rPr>
        <w:t>:</w:t>
      </w:r>
    </w:p>
    <w:p w:rsidR="00574054" w:rsidRPr="005F278F" w:rsidRDefault="00742426" w:rsidP="00B829CC">
      <w:pPr>
        <w:ind w:firstLine="720"/>
        <w:rPr>
          <w:rFonts w:ascii="Times New Roman" w:hAnsi="Times New Roman" w:cs="Times New Roman"/>
        </w:rPr>
      </w:pPr>
      <w:r w:rsidRPr="005F278F">
        <w:rPr>
          <w:rFonts w:ascii="Times New Roman" w:hAnsi="Times New Roman" w:cs="Times New Roman"/>
        </w:rPr>
        <w:t>Cr</w:t>
      </w:r>
      <w:r w:rsidR="00574054" w:rsidRPr="005F278F">
        <w:rPr>
          <w:rFonts w:ascii="Times New Roman" w:hAnsi="Times New Roman" w:cs="Times New Roman"/>
        </w:rPr>
        <w:t xml:space="preserve"> Asset </w:t>
      </w:r>
      <w:r w:rsidR="00B829CC" w:rsidRPr="005F278F">
        <w:rPr>
          <w:rFonts w:ascii="Times New Roman" w:hAnsi="Times New Roman" w:cs="Times New Roman"/>
        </w:rPr>
        <w:t>(property, Plant and Equipment)</w:t>
      </w:r>
      <w:r w:rsidR="00B829CC" w:rsidRPr="005F278F">
        <w:rPr>
          <w:rFonts w:ascii="Times New Roman" w:hAnsi="Times New Roman" w:cs="Times New Roman"/>
        </w:rPr>
        <w:tab/>
      </w:r>
      <w:r w:rsidR="00B829CC" w:rsidRPr="005F278F">
        <w:rPr>
          <w:rFonts w:ascii="Times New Roman" w:hAnsi="Times New Roman" w:cs="Times New Roman"/>
        </w:rPr>
        <w:tab/>
      </w:r>
      <w:r w:rsidR="00B829CC" w:rsidRPr="005F278F">
        <w:rPr>
          <w:rFonts w:ascii="Times New Roman" w:hAnsi="Times New Roman" w:cs="Times New Roman"/>
        </w:rPr>
        <w:tab/>
        <w:t>(</w:t>
      </w:r>
      <w:r w:rsidR="00574054" w:rsidRPr="005F278F">
        <w:rPr>
          <w:rFonts w:ascii="Times New Roman" w:hAnsi="Times New Roman" w:cs="Times New Roman"/>
        </w:rPr>
        <w:t>£</w:t>
      </w:r>
      <w:r w:rsidR="00EE4627" w:rsidRPr="005F278F">
        <w:rPr>
          <w:rFonts w:ascii="Times New Roman" w:hAnsi="Times New Roman" w:cs="Times New Roman"/>
        </w:rPr>
        <w:t>3</w:t>
      </w:r>
      <w:r w:rsidR="00574054" w:rsidRPr="005F278F">
        <w:rPr>
          <w:rFonts w:ascii="Times New Roman" w:hAnsi="Times New Roman" w:cs="Times New Roman"/>
        </w:rPr>
        <w:t>.</w:t>
      </w:r>
      <w:r w:rsidR="00EE4627" w:rsidRPr="005F278F">
        <w:rPr>
          <w:rFonts w:ascii="Times New Roman" w:hAnsi="Times New Roman" w:cs="Times New Roman"/>
        </w:rPr>
        <w:t>6</w:t>
      </w:r>
      <w:r w:rsidR="00574054" w:rsidRPr="005F278F">
        <w:rPr>
          <w:rFonts w:ascii="Times New Roman" w:hAnsi="Times New Roman" w:cs="Times New Roman"/>
        </w:rPr>
        <w:t>m</w:t>
      </w:r>
      <w:r w:rsidR="00B829CC" w:rsidRPr="005F278F">
        <w:rPr>
          <w:rFonts w:ascii="Times New Roman" w:hAnsi="Times New Roman" w:cs="Times New Roman"/>
        </w:rPr>
        <w:t>)</w:t>
      </w:r>
    </w:p>
    <w:p w:rsidR="00574054" w:rsidRPr="005F278F" w:rsidRDefault="00742426" w:rsidP="00B829CC">
      <w:pPr>
        <w:rPr>
          <w:rFonts w:ascii="Times New Roman" w:hAnsi="Times New Roman" w:cs="Times New Roman"/>
        </w:rPr>
      </w:pPr>
      <w:r w:rsidRPr="005F278F">
        <w:rPr>
          <w:rFonts w:ascii="Times New Roman" w:hAnsi="Times New Roman" w:cs="Times New Roman"/>
        </w:rPr>
        <w:t>Dr</w:t>
      </w:r>
      <w:r w:rsidR="00574054" w:rsidRPr="005F278F">
        <w:rPr>
          <w:rFonts w:ascii="Times New Roman" w:hAnsi="Times New Roman" w:cs="Times New Roman"/>
        </w:rPr>
        <w:t xml:space="preserve"> Consolidated Income Statement - Expenditure</w:t>
      </w:r>
      <w:r w:rsidR="00C6426D" w:rsidRPr="005F278F">
        <w:rPr>
          <w:rFonts w:ascii="Times New Roman" w:hAnsi="Times New Roman" w:cs="Times New Roman"/>
        </w:rPr>
        <w:t xml:space="preserve"> </w:t>
      </w:r>
      <w:r w:rsidRPr="005F278F">
        <w:rPr>
          <w:rFonts w:ascii="Times New Roman" w:hAnsi="Times New Roman" w:cs="Times New Roman"/>
        </w:rPr>
        <w:tab/>
      </w:r>
      <w:r w:rsidR="00574054" w:rsidRPr="005F278F">
        <w:rPr>
          <w:rFonts w:ascii="Times New Roman" w:hAnsi="Times New Roman" w:cs="Times New Roman"/>
        </w:rPr>
        <w:t>£</w:t>
      </w:r>
      <w:r w:rsidR="00EE4627" w:rsidRPr="005F278F">
        <w:rPr>
          <w:rFonts w:ascii="Times New Roman" w:hAnsi="Times New Roman" w:cs="Times New Roman"/>
        </w:rPr>
        <w:t>3</w:t>
      </w:r>
      <w:r w:rsidR="00574054" w:rsidRPr="005F278F">
        <w:rPr>
          <w:rFonts w:ascii="Times New Roman" w:hAnsi="Times New Roman" w:cs="Times New Roman"/>
        </w:rPr>
        <w:t>.</w:t>
      </w:r>
      <w:r w:rsidR="00EE4627" w:rsidRPr="005F278F">
        <w:rPr>
          <w:rFonts w:ascii="Times New Roman" w:hAnsi="Times New Roman" w:cs="Times New Roman"/>
        </w:rPr>
        <w:t>6</w:t>
      </w:r>
      <w:r w:rsidR="00574054" w:rsidRPr="005F278F">
        <w:rPr>
          <w:rFonts w:ascii="Times New Roman" w:hAnsi="Times New Roman" w:cs="Times New Roman"/>
        </w:rPr>
        <w:t>m</w:t>
      </w:r>
    </w:p>
    <w:p w:rsidR="00C6426D" w:rsidRPr="005F278F" w:rsidRDefault="00C6426D" w:rsidP="00FD2028">
      <w:pPr>
        <w:rPr>
          <w:rFonts w:ascii="Times New Roman" w:hAnsi="Times New Roman" w:cs="Times New Roman"/>
          <w:i/>
        </w:rPr>
      </w:pPr>
      <w:r w:rsidRPr="005F278F">
        <w:rPr>
          <w:rFonts w:ascii="Times New Roman" w:hAnsi="Times New Roman" w:cs="Times New Roman"/>
          <w:i/>
        </w:rPr>
        <w:t>This depreciates the asset</w:t>
      </w:r>
      <w:r w:rsidR="00EE4627" w:rsidRPr="005F278F">
        <w:rPr>
          <w:rFonts w:ascii="Times New Roman" w:hAnsi="Times New Roman" w:cs="Times New Roman"/>
          <w:i/>
        </w:rPr>
        <w:t xml:space="preserve">. Note that capital additions may be required where significant lifecycle costs are incurred.  </w:t>
      </w:r>
      <w:r w:rsidR="00507DCE" w:rsidRPr="005F278F">
        <w:rPr>
          <w:rFonts w:ascii="Times New Roman" w:hAnsi="Times New Roman" w:cs="Times New Roman"/>
          <w:i/>
        </w:rPr>
        <w:t>This assumes an asset life of 40 years.</w:t>
      </w:r>
    </w:p>
    <w:p w:rsidR="00762468" w:rsidRDefault="00762468" w:rsidP="00FD2028">
      <w:pPr>
        <w:rPr>
          <w:rFonts w:ascii="Times New Roman" w:hAnsi="Times New Roman" w:cs="Times New Roman"/>
          <w:b/>
        </w:rPr>
      </w:pPr>
    </w:p>
    <w:p w:rsidR="00762468" w:rsidRDefault="00762468" w:rsidP="00FD2028">
      <w:pPr>
        <w:rPr>
          <w:rFonts w:ascii="Times New Roman" w:hAnsi="Times New Roman" w:cs="Times New Roman"/>
          <w:b/>
        </w:rPr>
      </w:pPr>
    </w:p>
    <w:p w:rsidR="00762468" w:rsidRDefault="00762468" w:rsidP="00FD2028">
      <w:pPr>
        <w:rPr>
          <w:rFonts w:ascii="Times New Roman" w:hAnsi="Times New Roman" w:cs="Times New Roman"/>
          <w:b/>
        </w:rPr>
      </w:pPr>
    </w:p>
    <w:p w:rsidR="00574054" w:rsidRPr="005F278F" w:rsidRDefault="00574054" w:rsidP="00FD2028">
      <w:pPr>
        <w:rPr>
          <w:rFonts w:ascii="Times New Roman" w:hAnsi="Times New Roman" w:cs="Times New Roman"/>
          <w:b/>
        </w:rPr>
      </w:pPr>
      <w:r w:rsidRPr="005F278F">
        <w:rPr>
          <w:rFonts w:ascii="Times New Roman" w:hAnsi="Times New Roman" w:cs="Times New Roman"/>
          <w:b/>
        </w:rPr>
        <w:t>To acc</w:t>
      </w:r>
      <w:r w:rsidR="00932193" w:rsidRPr="005F278F">
        <w:rPr>
          <w:rFonts w:ascii="Times New Roman" w:hAnsi="Times New Roman" w:cs="Times New Roman"/>
          <w:b/>
        </w:rPr>
        <w:t>ount for the £9</w:t>
      </w:r>
      <w:r w:rsidRPr="005F278F">
        <w:rPr>
          <w:rFonts w:ascii="Times New Roman" w:hAnsi="Times New Roman" w:cs="Times New Roman"/>
          <w:b/>
        </w:rPr>
        <w:t xml:space="preserve">m annual </w:t>
      </w:r>
      <w:r w:rsidR="00B829CC" w:rsidRPr="005F278F">
        <w:rPr>
          <w:rFonts w:ascii="Times New Roman" w:hAnsi="Times New Roman" w:cs="Times New Roman"/>
          <w:b/>
        </w:rPr>
        <w:t xml:space="preserve">occupancy </w:t>
      </w:r>
      <w:r w:rsidRPr="005F278F">
        <w:rPr>
          <w:rFonts w:ascii="Times New Roman" w:hAnsi="Times New Roman" w:cs="Times New Roman"/>
          <w:b/>
        </w:rPr>
        <w:t>guarantee</w:t>
      </w:r>
      <w:r w:rsidR="00B829CC" w:rsidRPr="005F278F">
        <w:rPr>
          <w:rFonts w:ascii="Times New Roman" w:hAnsi="Times New Roman" w:cs="Times New Roman"/>
          <w:b/>
        </w:rPr>
        <w:t xml:space="preserve"> (year 1)</w:t>
      </w:r>
      <w:r w:rsidRPr="005F278F">
        <w:rPr>
          <w:rFonts w:ascii="Times New Roman" w:hAnsi="Times New Roman" w:cs="Times New Roman"/>
          <w:b/>
        </w:rPr>
        <w:t>:</w:t>
      </w:r>
    </w:p>
    <w:p w:rsidR="00C6426D" w:rsidRPr="005F278F" w:rsidRDefault="00742426" w:rsidP="00B829CC">
      <w:pPr>
        <w:ind w:firstLine="720"/>
        <w:rPr>
          <w:rFonts w:ascii="Times New Roman" w:hAnsi="Times New Roman" w:cs="Times New Roman"/>
        </w:rPr>
      </w:pPr>
      <w:r w:rsidRPr="005F278F">
        <w:rPr>
          <w:rFonts w:ascii="Times New Roman" w:hAnsi="Times New Roman" w:cs="Times New Roman"/>
        </w:rPr>
        <w:t>Cr</w:t>
      </w:r>
      <w:r w:rsidR="00574054" w:rsidRPr="005F278F">
        <w:rPr>
          <w:rFonts w:ascii="Times New Roman" w:hAnsi="Times New Roman" w:cs="Times New Roman"/>
        </w:rPr>
        <w:t xml:space="preserve"> </w:t>
      </w:r>
      <w:r w:rsidR="00932193" w:rsidRPr="005F278F">
        <w:rPr>
          <w:rFonts w:ascii="Times New Roman" w:hAnsi="Times New Roman" w:cs="Times New Roman"/>
        </w:rPr>
        <w:t xml:space="preserve">Income </w:t>
      </w:r>
      <w:r w:rsidR="005E11DC" w:rsidRPr="005F278F">
        <w:rPr>
          <w:rFonts w:ascii="Times New Roman" w:hAnsi="Times New Roman" w:cs="Times New Roman"/>
        </w:rPr>
        <w:t>(residence income)</w:t>
      </w:r>
      <w:r w:rsidR="00B829CC" w:rsidRPr="005F278F">
        <w:rPr>
          <w:rFonts w:ascii="Times New Roman" w:hAnsi="Times New Roman" w:cs="Times New Roman"/>
        </w:rPr>
        <w:tab/>
      </w:r>
      <w:r w:rsidR="00B829CC" w:rsidRPr="005F278F">
        <w:rPr>
          <w:rFonts w:ascii="Times New Roman" w:hAnsi="Times New Roman" w:cs="Times New Roman"/>
        </w:rPr>
        <w:tab/>
      </w:r>
      <w:r w:rsidR="00B829CC" w:rsidRPr="005F278F">
        <w:rPr>
          <w:rFonts w:ascii="Times New Roman" w:hAnsi="Times New Roman" w:cs="Times New Roman"/>
        </w:rPr>
        <w:tab/>
      </w:r>
      <w:r w:rsidR="00B829CC" w:rsidRPr="005F278F">
        <w:rPr>
          <w:rFonts w:ascii="Times New Roman" w:hAnsi="Times New Roman" w:cs="Times New Roman"/>
        </w:rPr>
        <w:tab/>
      </w:r>
      <w:r w:rsidR="00B829CC" w:rsidRPr="005F278F">
        <w:rPr>
          <w:rFonts w:ascii="Times New Roman" w:hAnsi="Times New Roman" w:cs="Times New Roman"/>
        </w:rPr>
        <w:tab/>
        <w:t>(</w:t>
      </w:r>
      <w:r w:rsidR="00932193" w:rsidRPr="005F278F">
        <w:rPr>
          <w:rFonts w:ascii="Times New Roman" w:hAnsi="Times New Roman" w:cs="Times New Roman"/>
        </w:rPr>
        <w:t>£9</w:t>
      </w:r>
      <w:r w:rsidR="00C6426D" w:rsidRPr="005F278F">
        <w:rPr>
          <w:rFonts w:ascii="Times New Roman" w:hAnsi="Times New Roman" w:cs="Times New Roman"/>
        </w:rPr>
        <w:t>m</w:t>
      </w:r>
      <w:r w:rsidR="00B829CC" w:rsidRPr="005F278F">
        <w:rPr>
          <w:rFonts w:ascii="Times New Roman" w:hAnsi="Times New Roman" w:cs="Times New Roman"/>
        </w:rPr>
        <w:t>)</w:t>
      </w:r>
    </w:p>
    <w:p w:rsidR="00B829CC" w:rsidRPr="005F278F" w:rsidRDefault="00B829CC" w:rsidP="00B829CC">
      <w:pPr>
        <w:rPr>
          <w:rFonts w:ascii="Times New Roman" w:hAnsi="Times New Roman" w:cs="Times New Roman"/>
        </w:rPr>
      </w:pPr>
      <w:r w:rsidRPr="005F278F">
        <w:rPr>
          <w:rFonts w:ascii="Times New Roman" w:hAnsi="Times New Roman" w:cs="Times New Roman"/>
        </w:rPr>
        <w:t>Dr Cash</w:t>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t>£9m</w:t>
      </w:r>
    </w:p>
    <w:p w:rsidR="00B829CC" w:rsidRPr="005F278F" w:rsidRDefault="00B829CC" w:rsidP="00B829CC">
      <w:pPr>
        <w:ind w:firstLine="720"/>
        <w:rPr>
          <w:rFonts w:ascii="Times New Roman" w:hAnsi="Times New Roman" w:cs="Times New Roman"/>
        </w:rPr>
      </w:pPr>
      <w:r w:rsidRPr="005F278F">
        <w:rPr>
          <w:rFonts w:ascii="Times New Roman" w:hAnsi="Times New Roman" w:cs="Times New Roman"/>
        </w:rPr>
        <w:t>Cr Cash</w:t>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t>(£9m)</w:t>
      </w:r>
      <w:r w:rsidRPr="005F278F">
        <w:rPr>
          <w:rFonts w:ascii="Times New Roman" w:hAnsi="Times New Roman" w:cs="Times New Roman"/>
        </w:rPr>
        <w:tab/>
      </w:r>
    </w:p>
    <w:p w:rsidR="00C6426D" w:rsidRPr="005F278F" w:rsidRDefault="00742426" w:rsidP="00B829CC">
      <w:pPr>
        <w:rPr>
          <w:rFonts w:ascii="Times New Roman" w:hAnsi="Times New Roman" w:cs="Times New Roman"/>
        </w:rPr>
      </w:pPr>
      <w:r w:rsidRPr="005F278F">
        <w:rPr>
          <w:rFonts w:ascii="Times New Roman" w:hAnsi="Times New Roman" w:cs="Times New Roman"/>
        </w:rPr>
        <w:t>Dr</w:t>
      </w:r>
      <w:r w:rsidR="00C6426D" w:rsidRPr="005F278F">
        <w:rPr>
          <w:rFonts w:ascii="Times New Roman" w:hAnsi="Times New Roman" w:cs="Times New Roman"/>
        </w:rPr>
        <w:t xml:space="preserve"> Consolidated Income Statement - Expenditure finance charge </w:t>
      </w:r>
      <w:r w:rsidRPr="005F278F">
        <w:rPr>
          <w:rFonts w:ascii="Times New Roman" w:hAnsi="Times New Roman" w:cs="Times New Roman"/>
        </w:rPr>
        <w:tab/>
      </w:r>
      <w:r w:rsidR="00B829CC" w:rsidRPr="005F278F">
        <w:rPr>
          <w:rFonts w:ascii="Times New Roman" w:hAnsi="Times New Roman" w:cs="Times New Roman"/>
        </w:rPr>
        <w:tab/>
      </w:r>
      <w:r w:rsidR="00507DCE" w:rsidRPr="005F278F">
        <w:rPr>
          <w:rFonts w:ascii="Times New Roman" w:hAnsi="Times New Roman" w:cs="Times New Roman"/>
        </w:rPr>
        <w:t>£7.25</w:t>
      </w:r>
      <w:r w:rsidR="00C6426D" w:rsidRPr="005F278F">
        <w:rPr>
          <w:rFonts w:ascii="Times New Roman" w:hAnsi="Times New Roman" w:cs="Times New Roman"/>
        </w:rPr>
        <w:t>m</w:t>
      </w:r>
    </w:p>
    <w:p w:rsidR="00574054" w:rsidRPr="005F278F" w:rsidRDefault="00742426" w:rsidP="00B829CC">
      <w:pPr>
        <w:rPr>
          <w:rFonts w:ascii="Times New Roman" w:hAnsi="Times New Roman" w:cs="Times New Roman"/>
        </w:rPr>
      </w:pPr>
      <w:r w:rsidRPr="005F278F">
        <w:rPr>
          <w:rFonts w:ascii="Times New Roman" w:hAnsi="Times New Roman" w:cs="Times New Roman"/>
        </w:rPr>
        <w:t>Dr</w:t>
      </w:r>
      <w:r w:rsidR="00932193" w:rsidRPr="005F278F">
        <w:rPr>
          <w:rFonts w:ascii="Times New Roman" w:hAnsi="Times New Roman" w:cs="Times New Roman"/>
        </w:rPr>
        <w:t xml:space="preserve"> Liability </w:t>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00507DCE" w:rsidRPr="005F278F">
        <w:rPr>
          <w:rFonts w:ascii="Times New Roman" w:hAnsi="Times New Roman" w:cs="Times New Roman"/>
        </w:rPr>
        <w:t>£1.75</w:t>
      </w:r>
      <w:r w:rsidR="00C6426D" w:rsidRPr="005F278F">
        <w:rPr>
          <w:rFonts w:ascii="Times New Roman" w:hAnsi="Times New Roman" w:cs="Times New Roman"/>
        </w:rPr>
        <w:t>m</w:t>
      </w:r>
    </w:p>
    <w:p w:rsidR="00B829CC" w:rsidRPr="005F278F" w:rsidRDefault="00C6426D" w:rsidP="00B829CC">
      <w:pPr>
        <w:rPr>
          <w:rFonts w:ascii="Times New Roman" w:hAnsi="Times New Roman" w:cs="Times New Roman"/>
          <w:b/>
        </w:rPr>
      </w:pPr>
      <w:r w:rsidRPr="005F278F">
        <w:rPr>
          <w:rFonts w:ascii="Times New Roman" w:hAnsi="Times New Roman" w:cs="Times New Roman"/>
          <w:i/>
        </w:rPr>
        <w:t>T</w:t>
      </w:r>
      <w:r w:rsidR="00507DCE" w:rsidRPr="005F278F">
        <w:rPr>
          <w:rFonts w:ascii="Times New Roman" w:hAnsi="Times New Roman" w:cs="Times New Roman"/>
          <w:i/>
        </w:rPr>
        <w:t>he annual guarantee includes a 5</w:t>
      </w:r>
      <w:r w:rsidRPr="005F278F">
        <w:rPr>
          <w:rFonts w:ascii="Times New Roman" w:hAnsi="Times New Roman" w:cs="Times New Roman"/>
          <w:i/>
        </w:rPr>
        <w:t>%</w:t>
      </w:r>
      <w:r w:rsidR="00507DCE" w:rsidRPr="005F278F">
        <w:rPr>
          <w:rFonts w:ascii="Times New Roman" w:hAnsi="Times New Roman" w:cs="Times New Roman"/>
          <w:i/>
        </w:rPr>
        <w:t xml:space="preserve"> finance charge, in this case £7.25</w:t>
      </w:r>
      <w:r w:rsidRPr="005F278F">
        <w:rPr>
          <w:rFonts w:ascii="Times New Roman" w:hAnsi="Times New Roman" w:cs="Times New Roman"/>
          <w:i/>
        </w:rPr>
        <w:t>m, which is charged as expenditure through the Consolidated In</w:t>
      </w:r>
      <w:r w:rsidR="00932193" w:rsidRPr="005F278F">
        <w:rPr>
          <w:rFonts w:ascii="Times New Roman" w:hAnsi="Times New Roman" w:cs="Times New Roman"/>
          <w:i/>
        </w:rPr>
        <w:t>come Statement. The r</w:t>
      </w:r>
      <w:r w:rsidR="00507DCE" w:rsidRPr="005F278F">
        <w:rPr>
          <w:rFonts w:ascii="Times New Roman" w:hAnsi="Times New Roman" w:cs="Times New Roman"/>
          <w:i/>
        </w:rPr>
        <w:t>emaining £1.75</w:t>
      </w:r>
      <w:r w:rsidRPr="005F278F">
        <w:rPr>
          <w:rFonts w:ascii="Times New Roman" w:hAnsi="Times New Roman" w:cs="Times New Roman"/>
          <w:i/>
        </w:rPr>
        <w:t>m is the capital repayment element which reduces the outstanding liability.</w:t>
      </w:r>
    </w:p>
    <w:p w:rsidR="00B829CC" w:rsidRPr="005F278F" w:rsidRDefault="00B829CC" w:rsidP="00B829CC">
      <w:pPr>
        <w:rPr>
          <w:rFonts w:ascii="Times New Roman" w:hAnsi="Times New Roman" w:cs="Times New Roman"/>
          <w:b/>
        </w:rPr>
      </w:pPr>
      <w:r w:rsidRPr="005F278F">
        <w:rPr>
          <w:rFonts w:ascii="Times New Roman" w:hAnsi="Times New Roman" w:cs="Times New Roman"/>
          <w:b/>
        </w:rPr>
        <w:t>To account for the £9m annual occupancy guarantee (year 2):</w:t>
      </w:r>
    </w:p>
    <w:p w:rsidR="00B829CC" w:rsidRPr="005F278F" w:rsidRDefault="00B829CC" w:rsidP="00B829CC">
      <w:pPr>
        <w:ind w:firstLine="720"/>
        <w:rPr>
          <w:rFonts w:ascii="Times New Roman" w:hAnsi="Times New Roman" w:cs="Times New Roman"/>
        </w:rPr>
      </w:pPr>
      <w:r w:rsidRPr="005F278F">
        <w:rPr>
          <w:rFonts w:ascii="Times New Roman" w:hAnsi="Times New Roman" w:cs="Times New Roman"/>
        </w:rPr>
        <w:t xml:space="preserve">Cr Income </w:t>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t>(£9m)</w:t>
      </w:r>
    </w:p>
    <w:p w:rsidR="00B829CC" w:rsidRPr="005F278F" w:rsidRDefault="00B829CC" w:rsidP="00B829CC">
      <w:pPr>
        <w:rPr>
          <w:rFonts w:ascii="Times New Roman" w:hAnsi="Times New Roman" w:cs="Times New Roman"/>
        </w:rPr>
      </w:pPr>
      <w:r w:rsidRPr="005F278F">
        <w:rPr>
          <w:rFonts w:ascii="Times New Roman" w:hAnsi="Times New Roman" w:cs="Times New Roman"/>
        </w:rPr>
        <w:t>Dr Cash</w:t>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t>£9m</w:t>
      </w:r>
    </w:p>
    <w:p w:rsidR="00B829CC" w:rsidRPr="005F278F" w:rsidRDefault="00B829CC" w:rsidP="00B829CC">
      <w:pPr>
        <w:ind w:firstLine="720"/>
        <w:rPr>
          <w:rFonts w:ascii="Times New Roman" w:hAnsi="Times New Roman" w:cs="Times New Roman"/>
        </w:rPr>
      </w:pPr>
      <w:r w:rsidRPr="005F278F">
        <w:rPr>
          <w:rFonts w:ascii="Times New Roman" w:hAnsi="Times New Roman" w:cs="Times New Roman"/>
        </w:rPr>
        <w:t>Cr Cash</w:t>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t>(£9m)</w:t>
      </w:r>
      <w:r w:rsidRPr="005F278F">
        <w:rPr>
          <w:rFonts w:ascii="Times New Roman" w:hAnsi="Times New Roman" w:cs="Times New Roman"/>
        </w:rPr>
        <w:tab/>
      </w:r>
    </w:p>
    <w:p w:rsidR="00B829CC" w:rsidRPr="005F278F" w:rsidRDefault="00B829CC" w:rsidP="00B829CC">
      <w:pPr>
        <w:rPr>
          <w:rFonts w:ascii="Times New Roman" w:hAnsi="Times New Roman" w:cs="Times New Roman"/>
        </w:rPr>
      </w:pPr>
      <w:r w:rsidRPr="005F278F">
        <w:rPr>
          <w:rFonts w:ascii="Times New Roman" w:hAnsi="Times New Roman" w:cs="Times New Roman"/>
        </w:rPr>
        <w:t xml:space="preserve">Dr Consolidated Income Statement - Expenditure finance charge </w:t>
      </w:r>
      <w:r w:rsidRPr="005F278F">
        <w:rPr>
          <w:rFonts w:ascii="Times New Roman" w:hAnsi="Times New Roman" w:cs="Times New Roman"/>
        </w:rPr>
        <w:tab/>
      </w:r>
      <w:r w:rsidRPr="005F278F">
        <w:rPr>
          <w:rFonts w:ascii="Times New Roman" w:hAnsi="Times New Roman" w:cs="Times New Roman"/>
        </w:rPr>
        <w:tab/>
        <w:t>£</w:t>
      </w:r>
      <w:r w:rsidR="00EF1A5D" w:rsidRPr="005F278F">
        <w:rPr>
          <w:rFonts w:ascii="Times New Roman" w:hAnsi="Times New Roman" w:cs="Times New Roman"/>
        </w:rPr>
        <w:t>7</w:t>
      </w:r>
      <w:r w:rsidRPr="005F278F">
        <w:rPr>
          <w:rFonts w:ascii="Times New Roman" w:hAnsi="Times New Roman" w:cs="Times New Roman"/>
        </w:rPr>
        <w:t>.</w:t>
      </w:r>
      <w:r w:rsidR="00507DCE" w:rsidRPr="005F278F">
        <w:rPr>
          <w:rFonts w:ascii="Times New Roman" w:hAnsi="Times New Roman" w:cs="Times New Roman"/>
        </w:rPr>
        <w:t>16</w:t>
      </w:r>
      <w:r w:rsidR="0076555B">
        <w:rPr>
          <w:rFonts w:ascii="Times New Roman" w:hAnsi="Times New Roman" w:cs="Times New Roman"/>
        </w:rPr>
        <w:t xml:space="preserve">m </w:t>
      </w:r>
    </w:p>
    <w:p w:rsidR="003A1DC1" w:rsidRPr="005F278F" w:rsidRDefault="003A1DC1" w:rsidP="003A1DC1">
      <w:pPr>
        <w:tabs>
          <w:tab w:val="left" w:pos="6521"/>
        </w:tabs>
        <w:ind w:left="6521" w:hanging="6521"/>
        <w:rPr>
          <w:rFonts w:ascii="Times New Roman" w:hAnsi="Times New Roman" w:cs="Times New Roman"/>
        </w:rPr>
      </w:pPr>
      <w:r w:rsidRPr="005F278F">
        <w:rPr>
          <w:rFonts w:ascii="Times New Roman" w:hAnsi="Times New Roman" w:cs="Times New Roman"/>
        </w:rPr>
        <w:tab/>
        <w:t xml:space="preserve">((145 – 1.75 year 1 capital repayment) *5%) </w:t>
      </w:r>
    </w:p>
    <w:p w:rsidR="00507DCE" w:rsidRPr="005F278F" w:rsidRDefault="0076555B" w:rsidP="00B829CC">
      <w:pPr>
        <w:rPr>
          <w:rFonts w:ascii="Times New Roman" w:hAnsi="Times New Roman" w:cs="Times New Roman"/>
        </w:rPr>
      </w:pPr>
      <w:r>
        <w:rPr>
          <w:rFonts w:ascii="Times New Roman" w:hAnsi="Times New Roman" w:cs="Times New Roman"/>
        </w:rPr>
        <w:t xml:space="preserve">Dr Liability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7DCE" w:rsidRPr="005F278F">
        <w:rPr>
          <w:rFonts w:ascii="Times New Roman" w:hAnsi="Times New Roman" w:cs="Times New Roman"/>
        </w:rPr>
        <w:t>£1.84m (9-7.17</w:t>
      </w:r>
      <w:r w:rsidR="003A1DC1" w:rsidRPr="005F278F">
        <w:rPr>
          <w:rFonts w:ascii="Times New Roman" w:hAnsi="Times New Roman" w:cs="Times New Roman"/>
        </w:rPr>
        <w:t>)</w:t>
      </w:r>
    </w:p>
    <w:p w:rsidR="00AE3BF7" w:rsidRPr="005F278F" w:rsidRDefault="00AE3BF7">
      <w:pPr>
        <w:rPr>
          <w:rFonts w:ascii="Times New Roman" w:hAnsi="Times New Roman" w:cs="Times New Roman"/>
          <w:b/>
        </w:rPr>
      </w:pPr>
    </w:p>
    <w:p w:rsidR="00AE3BF7" w:rsidRPr="007B0BD2" w:rsidRDefault="00AE3BF7" w:rsidP="007B0BD2">
      <w:pPr>
        <w:pStyle w:val="ListParagraph"/>
        <w:numPr>
          <w:ilvl w:val="4"/>
          <w:numId w:val="2"/>
        </w:numPr>
        <w:spacing w:after="0" w:line="240" w:lineRule="auto"/>
        <w:ind w:left="851" w:hanging="851"/>
        <w:rPr>
          <w:rFonts w:ascii="Times New Roman" w:hAnsi="Times New Roman" w:cs="Times New Roman"/>
        </w:rPr>
      </w:pPr>
      <w:r w:rsidRPr="007B0BD2">
        <w:rPr>
          <w:rFonts w:ascii="Times New Roman" w:hAnsi="Times New Roman" w:cs="Times New Roman"/>
        </w:rPr>
        <w:t>NPV of minimum guaranteed cashflow</w:t>
      </w:r>
      <w:r w:rsidRPr="007B0BD2">
        <w:rPr>
          <w:rFonts w:ascii="Times New Roman" w:hAnsi="Times New Roman" w:cs="Times New Roman"/>
        </w:rPr>
        <w:tab/>
      </w:r>
      <w:r w:rsidRPr="007B0BD2">
        <w:rPr>
          <w:rFonts w:ascii="Times New Roman" w:hAnsi="Times New Roman" w:cs="Times New Roman"/>
        </w:rPr>
        <w:tab/>
        <w:t>Years 1-10</w:t>
      </w:r>
      <w:r w:rsidRPr="007B0BD2">
        <w:rPr>
          <w:rFonts w:ascii="Times New Roman" w:hAnsi="Times New Roman" w:cs="Times New Roman"/>
        </w:rPr>
        <w:tab/>
        <w:t>£9m</w:t>
      </w:r>
    </w:p>
    <w:p w:rsidR="00AE3BF7" w:rsidRPr="005F278F" w:rsidRDefault="00AE3BF7" w:rsidP="00AE3BF7">
      <w:pPr>
        <w:pStyle w:val="ListParagraph"/>
        <w:ind w:left="5040"/>
        <w:rPr>
          <w:rFonts w:ascii="Times New Roman" w:hAnsi="Times New Roman" w:cs="Times New Roman"/>
        </w:rPr>
      </w:pPr>
      <w:r w:rsidRPr="005F278F">
        <w:rPr>
          <w:rFonts w:ascii="Times New Roman" w:hAnsi="Times New Roman" w:cs="Times New Roman"/>
        </w:rPr>
        <w:t>Years 11-12</w:t>
      </w:r>
      <w:r w:rsidRPr="005F278F">
        <w:rPr>
          <w:rFonts w:ascii="Times New Roman" w:hAnsi="Times New Roman" w:cs="Times New Roman"/>
        </w:rPr>
        <w:tab/>
        <w:t>£8.5m</w:t>
      </w:r>
    </w:p>
    <w:p w:rsidR="00AE3BF7" w:rsidRPr="005F278F" w:rsidRDefault="00AE3BF7" w:rsidP="00AE3BF7">
      <w:pPr>
        <w:pStyle w:val="ListParagraph"/>
        <w:ind w:left="5040"/>
        <w:rPr>
          <w:rFonts w:ascii="Times New Roman" w:hAnsi="Times New Roman" w:cs="Times New Roman"/>
        </w:rPr>
      </w:pPr>
      <w:r w:rsidRPr="005F278F">
        <w:rPr>
          <w:rFonts w:ascii="Times New Roman" w:hAnsi="Times New Roman" w:cs="Times New Roman"/>
        </w:rPr>
        <w:t>Years 21-30</w:t>
      </w:r>
      <w:r w:rsidRPr="005F278F">
        <w:rPr>
          <w:rFonts w:ascii="Times New Roman" w:hAnsi="Times New Roman" w:cs="Times New Roman"/>
        </w:rPr>
        <w:tab/>
        <w:t>£8m</w:t>
      </w:r>
    </w:p>
    <w:p w:rsidR="00AE3BF7" w:rsidRPr="005F278F" w:rsidRDefault="00AE3BF7" w:rsidP="00AE3BF7">
      <w:pPr>
        <w:pStyle w:val="ListParagraph"/>
        <w:ind w:left="5040"/>
        <w:rPr>
          <w:rFonts w:ascii="Times New Roman" w:hAnsi="Times New Roman" w:cs="Times New Roman"/>
        </w:rPr>
      </w:pPr>
      <w:r w:rsidRPr="005F278F">
        <w:rPr>
          <w:rFonts w:ascii="Times New Roman" w:hAnsi="Times New Roman" w:cs="Times New Roman"/>
        </w:rPr>
        <w:t>Years 31-40</w:t>
      </w:r>
      <w:r w:rsidRPr="005F278F">
        <w:rPr>
          <w:rFonts w:ascii="Times New Roman" w:hAnsi="Times New Roman" w:cs="Times New Roman"/>
        </w:rPr>
        <w:tab/>
        <w:t>£6.9m</w:t>
      </w:r>
    </w:p>
    <w:p w:rsidR="00AE3BF7" w:rsidRPr="005F278F" w:rsidRDefault="00AE3BF7" w:rsidP="00AE3BF7">
      <w:pPr>
        <w:ind w:firstLine="720"/>
        <w:rPr>
          <w:rFonts w:ascii="Times New Roman" w:hAnsi="Times New Roman" w:cs="Times New Roman"/>
        </w:rPr>
      </w:pPr>
      <w:r w:rsidRPr="005F278F">
        <w:rPr>
          <w:rFonts w:ascii="Times New Roman" w:hAnsi="Times New Roman" w:cs="Times New Roman"/>
        </w:rPr>
        <w:t>Present value calculated at the effective interest rate of 5% = £145m.</w:t>
      </w:r>
    </w:p>
    <w:p w:rsidR="00AE3BF7" w:rsidRDefault="00AE3BF7">
      <w:pPr>
        <w:rPr>
          <w:rFonts w:ascii="Times New Roman" w:hAnsi="Times New Roman" w:cs="Times New Roman"/>
          <w:b/>
        </w:rPr>
      </w:pPr>
      <w:r>
        <w:rPr>
          <w:rFonts w:ascii="Times New Roman" w:hAnsi="Times New Roman" w:cs="Times New Roman"/>
          <w:b/>
        </w:rPr>
        <w:br w:type="page"/>
      </w:r>
    </w:p>
    <w:p w:rsidR="00900198" w:rsidRPr="0076555B" w:rsidRDefault="00900198" w:rsidP="00FD2028">
      <w:pPr>
        <w:rPr>
          <w:rFonts w:ascii="Times New Roman" w:hAnsi="Times New Roman" w:cs="Times New Roman"/>
          <w:b/>
          <w:color w:val="002060"/>
          <w:sz w:val="28"/>
          <w:szCs w:val="28"/>
        </w:rPr>
      </w:pPr>
      <w:r w:rsidRPr="0076555B">
        <w:rPr>
          <w:rFonts w:ascii="Times New Roman" w:hAnsi="Times New Roman" w:cs="Times New Roman"/>
          <w:b/>
          <w:color w:val="002060"/>
          <w:sz w:val="28"/>
          <w:szCs w:val="28"/>
        </w:rPr>
        <w:lastRenderedPageBreak/>
        <w:t>Case Study 2 – Residency arrangement with no occupancy guarantee</w:t>
      </w:r>
    </w:p>
    <w:p w:rsidR="00900198" w:rsidRPr="005F278F" w:rsidRDefault="00900198" w:rsidP="00FD2028">
      <w:pPr>
        <w:rPr>
          <w:rFonts w:ascii="Times New Roman" w:hAnsi="Times New Roman" w:cs="Times New Roman"/>
          <w:b/>
        </w:rPr>
      </w:pPr>
      <w:r w:rsidRPr="005F278F">
        <w:rPr>
          <w:rFonts w:ascii="Times New Roman" w:hAnsi="Times New Roman" w:cs="Times New Roman"/>
          <w:b/>
        </w:rPr>
        <w:t>Background</w:t>
      </w:r>
    </w:p>
    <w:p w:rsidR="00120A52" w:rsidRPr="00E90C0D" w:rsidRDefault="009B1539" w:rsidP="00E90C0D">
      <w:pPr>
        <w:pStyle w:val="ListParagraph"/>
        <w:numPr>
          <w:ilvl w:val="0"/>
          <w:numId w:val="46"/>
        </w:numPr>
        <w:rPr>
          <w:rFonts w:ascii="Times New Roman" w:hAnsi="Times New Roman" w:cs="Times New Roman"/>
        </w:rPr>
      </w:pPr>
      <w:r w:rsidRPr="00E90C0D">
        <w:rPr>
          <w:rFonts w:ascii="Times New Roman" w:hAnsi="Times New Roman" w:cs="Times New Roman"/>
        </w:rPr>
        <w:t>This arrangement includes a combination of assets constructed by the</w:t>
      </w:r>
      <w:r w:rsidR="007B0BD2">
        <w:rPr>
          <w:rFonts w:ascii="Times New Roman" w:hAnsi="Times New Roman" w:cs="Times New Roman"/>
        </w:rPr>
        <w:t xml:space="preserve"> public sector </w:t>
      </w:r>
      <w:r w:rsidR="003C293A" w:rsidRPr="00E90C0D">
        <w:rPr>
          <w:rFonts w:ascii="Times New Roman" w:hAnsi="Times New Roman" w:cs="Times New Roman"/>
        </w:rPr>
        <w:t>SPV</w:t>
      </w:r>
      <w:r w:rsidRPr="00E90C0D">
        <w:rPr>
          <w:rFonts w:ascii="Times New Roman" w:hAnsi="Times New Roman" w:cs="Times New Roman"/>
        </w:rPr>
        <w:t xml:space="preserve"> and assets that had been constructed by the University a few year</w:t>
      </w:r>
      <w:r w:rsidR="009B53C5" w:rsidRPr="00E90C0D">
        <w:rPr>
          <w:rFonts w:ascii="Times New Roman" w:hAnsi="Times New Roman" w:cs="Times New Roman"/>
        </w:rPr>
        <w:t>s</w:t>
      </w:r>
      <w:r w:rsidRPr="00E90C0D">
        <w:rPr>
          <w:rFonts w:ascii="Times New Roman" w:hAnsi="Times New Roman" w:cs="Times New Roman"/>
        </w:rPr>
        <w:t xml:space="preserve"> previous and sold to the </w:t>
      </w:r>
      <w:r w:rsidR="003C293A" w:rsidRPr="00E90C0D">
        <w:rPr>
          <w:rFonts w:ascii="Times New Roman" w:hAnsi="Times New Roman" w:cs="Times New Roman"/>
        </w:rPr>
        <w:t>SPV</w:t>
      </w:r>
      <w:r w:rsidRPr="00E90C0D">
        <w:rPr>
          <w:rFonts w:ascii="Times New Roman" w:hAnsi="Times New Roman" w:cs="Times New Roman"/>
        </w:rPr>
        <w:t>. The Univer</w:t>
      </w:r>
      <w:r w:rsidR="00B43083" w:rsidRPr="00E90C0D">
        <w:rPr>
          <w:rFonts w:ascii="Times New Roman" w:hAnsi="Times New Roman" w:cs="Times New Roman"/>
        </w:rPr>
        <w:t>sity’s</w:t>
      </w:r>
      <w:r w:rsidRPr="00E90C0D">
        <w:rPr>
          <w:rFonts w:ascii="Times New Roman" w:hAnsi="Times New Roman" w:cs="Times New Roman"/>
        </w:rPr>
        <w:t xml:space="preserve"> assets were sold at a premium of £9.5m.</w:t>
      </w:r>
    </w:p>
    <w:p w:rsidR="009B1539" w:rsidRPr="00E90C0D" w:rsidRDefault="009B1539" w:rsidP="00E90C0D">
      <w:pPr>
        <w:pStyle w:val="ListParagraph"/>
        <w:numPr>
          <w:ilvl w:val="0"/>
          <w:numId w:val="46"/>
        </w:numPr>
        <w:rPr>
          <w:rFonts w:ascii="Times New Roman" w:hAnsi="Times New Roman" w:cs="Times New Roman"/>
        </w:rPr>
      </w:pPr>
      <w:r w:rsidRPr="00E90C0D">
        <w:rPr>
          <w:rFonts w:ascii="Times New Roman" w:hAnsi="Times New Roman" w:cs="Times New Roman"/>
        </w:rPr>
        <w:t xml:space="preserve">The </w:t>
      </w:r>
      <w:r w:rsidR="00F13684" w:rsidRPr="00E90C0D">
        <w:rPr>
          <w:rFonts w:ascii="Times New Roman" w:hAnsi="Times New Roman" w:cs="Times New Roman"/>
        </w:rPr>
        <w:t>University has leased land to the operator for 40 years and leases the asset back, once constructed by the operator, for the remainder of the 40 year lease term.</w:t>
      </w:r>
      <w:r w:rsidR="009B53C5" w:rsidRPr="00E90C0D">
        <w:rPr>
          <w:rFonts w:ascii="Times New Roman" w:hAnsi="Times New Roman" w:cs="Times New Roman"/>
        </w:rPr>
        <w:t xml:space="preserve"> The </w:t>
      </w:r>
      <w:r w:rsidR="00F13684" w:rsidRPr="00E90C0D">
        <w:rPr>
          <w:rFonts w:ascii="Times New Roman" w:hAnsi="Times New Roman" w:cs="Times New Roman"/>
        </w:rPr>
        <w:t xml:space="preserve">land </w:t>
      </w:r>
      <w:r w:rsidR="009B53C5" w:rsidRPr="00E90C0D">
        <w:rPr>
          <w:rFonts w:ascii="Times New Roman" w:hAnsi="Times New Roman" w:cs="Times New Roman"/>
        </w:rPr>
        <w:t xml:space="preserve">headlease and </w:t>
      </w:r>
      <w:r w:rsidR="00F13684" w:rsidRPr="00E90C0D">
        <w:rPr>
          <w:rFonts w:ascii="Times New Roman" w:hAnsi="Times New Roman" w:cs="Times New Roman"/>
        </w:rPr>
        <w:t>lease back</w:t>
      </w:r>
      <w:r w:rsidR="009B53C5" w:rsidRPr="00E90C0D">
        <w:rPr>
          <w:rFonts w:ascii="Times New Roman" w:hAnsi="Times New Roman" w:cs="Times New Roman"/>
        </w:rPr>
        <w:t xml:space="preserve"> cover the likely useful life of the asset. The </w:t>
      </w:r>
      <w:r w:rsidR="00F13684" w:rsidRPr="00E90C0D">
        <w:rPr>
          <w:rFonts w:ascii="Times New Roman" w:hAnsi="Times New Roman" w:cs="Times New Roman"/>
        </w:rPr>
        <w:t xml:space="preserve">lease back arrangement </w:t>
      </w:r>
      <w:r w:rsidR="009B53C5" w:rsidRPr="00E90C0D">
        <w:rPr>
          <w:rFonts w:ascii="Times New Roman" w:hAnsi="Times New Roman" w:cs="Times New Roman"/>
        </w:rPr>
        <w:t>falls away should a situation of prolonged un-occupancy occur</w:t>
      </w:r>
      <w:r w:rsidR="00F13684" w:rsidRPr="00E90C0D">
        <w:rPr>
          <w:rFonts w:ascii="Times New Roman" w:hAnsi="Times New Roman" w:cs="Times New Roman"/>
        </w:rPr>
        <w:t xml:space="preserve"> enabling the operator to use the asset as it sees fit</w:t>
      </w:r>
      <w:r w:rsidR="009B53C5" w:rsidRPr="00E90C0D">
        <w:rPr>
          <w:rFonts w:ascii="Times New Roman" w:hAnsi="Times New Roman" w:cs="Times New Roman"/>
        </w:rPr>
        <w:t>.</w:t>
      </w:r>
    </w:p>
    <w:p w:rsidR="009B1539" w:rsidRPr="00E90C0D" w:rsidRDefault="009B1539" w:rsidP="00E90C0D">
      <w:pPr>
        <w:pStyle w:val="ListParagraph"/>
        <w:numPr>
          <w:ilvl w:val="0"/>
          <w:numId w:val="46"/>
        </w:numPr>
        <w:rPr>
          <w:rFonts w:ascii="Times New Roman" w:hAnsi="Times New Roman" w:cs="Times New Roman"/>
        </w:rPr>
      </w:pPr>
      <w:r w:rsidRPr="00E90C0D">
        <w:rPr>
          <w:rFonts w:ascii="Times New Roman" w:hAnsi="Times New Roman" w:cs="Times New Roman"/>
        </w:rPr>
        <w:t>The operator is responsible for providing planned and lifecycle maintenance. The University provides soft facilities management, re-active hard facilities management and residential management via the terms of the underlease.</w:t>
      </w:r>
    </w:p>
    <w:p w:rsidR="009B53C5" w:rsidRPr="00E90C0D" w:rsidRDefault="009B53C5" w:rsidP="00E90C0D">
      <w:pPr>
        <w:pStyle w:val="ListParagraph"/>
        <w:numPr>
          <w:ilvl w:val="0"/>
          <w:numId w:val="46"/>
        </w:numPr>
        <w:rPr>
          <w:rFonts w:ascii="Times New Roman" w:hAnsi="Times New Roman" w:cs="Times New Roman"/>
        </w:rPr>
      </w:pPr>
      <w:r w:rsidRPr="00E90C0D">
        <w:rPr>
          <w:rFonts w:ascii="Times New Roman" w:hAnsi="Times New Roman" w:cs="Times New Roman"/>
        </w:rPr>
        <w:t xml:space="preserve">The University has a minority equity interest in the </w:t>
      </w:r>
      <w:r w:rsidR="003C293A" w:rsidRPr="00E90C0D">
        <w:rPr>
          <w:rFonts w:ascii="Times New Roman" w:hAnsi="Times New Roman" w:cs="Times New Roman"/>
        </w:rPr>
        <w:t>SPV</w:t>
      </w:r>
      <w:r w:rsidRPr="00E90C0D">
        <w:rPr>
          <w:rFonts w:ascii="Times New Roman" w:hAnsi="Times New Roman" w:cs="Times New Roman"/>
        </w:rPr>
        <w:t xml:space="preserve"> which is accounted for as an investment.</w:t>
      </w:r>
    </w:p>
    <w:p w:rsidR="009B53C5" w:rsidRPr="00E90C0D" w:rsidRDefault="009B53C5" w:rsidP="00E90C0D">
      <w:pPr>
        <w:pStyle w:val="ListParagraph"/>
        <w:numPr>
          <w:ilvl w:val="0"/>
          <w:numId w:val="46"/>
        </w:numPr>
        <w:rPr>
          <w:rFonts w:ascii="Times New Roman" w:hAnsi="Times New Roman" w:cs="Times New Roman"/>
        </w:rPr>
      </w:pPr>
      <w:r w:rsidRPr="00E90C0D">
        <w:rPr>
          <w:rFonts w:ascii="Times New Roman" w:hAnsi="Times New Roman" w:cs="Times New Roman"/>
        </w:rPr>
        <w:t>Credit and void risk is retained by the University following occupation under the terms of the management agreement.</w:t>
      </w:r>
      <w:r w:rsidR="003A1DC1" w:rsidRPr="00E90C0D">
        <w:rPr>
          <w:rFonts w:ascii="Times New Roman" w:hAnsi="Times New Roman" w:cs="Times New Roman"/>
        </w:rPr>
        <w:t xml:space="preserve">   The credit and void risk only applies once the university has contracted with a student to occupy the room.  In practice this arises in the year when the student has signed the occupancy agreement with the university.  This is completed by the year end.</w:t>
      </w:r>
    </w:p>
    <w:p w:rsidR="009B53C5" w:rsidRPr="00E90C0D" w:rsidRDefault="009B53C5" w:rsidP="00E90C0D">
      <w:pPr>
        <w:pStyle w:val="ListParagraph"/>
        <w:numPr>
          <w:ilvl w:val="0"/>
          <w:numId w:val="46"/>
        </w:numPr>
        <w:rPr>
          <w:rFonts w:ascii="Times New Roman" w:hAnsi="Times New Roman" w:cs="Times New Roman"/>
        </w:rPr>
      </w:pPr>
      <w:r w:rsidRPr="00E90C0D">
        <w:rPr>
          <w:rFonts w:ascii="Times New Roman" w:hAnsi="Times New Roman" w:cs="Times New Roman"/>
        </w:rPr>
        <w:t>The University provides no guaranteed occupancy levels</w:t>
      </w:r>
      <w:r w:rsidR="0076555B" w:rsidRPr="00E90C0D">
        <w:rPr>
          <w:rFonts w:ascii="Times New Roman" w:hAnsi="Times New Roman" w:cs="Times New Roman"/>
        </w:rPr>
        <w:t xml:space="preserve"> outside the annually agreed student rental arrangements</w:t>
      </w:r>
      <w:r w:rsidRPr="00E90C0D">
        <w:rPr>
          <w:rFonts w:ascii="Times New Roman" w:hAnsi="Times New Roman" w:cs="Times New Roman"/>
        </w:rPr>
        <w:t>.</w:t>
      </w:r>
    </w:p>
    <w:p w:rsidR="007F0DE2" w:rsidRPr="005F278F" w:rsidRDefault="007F0DE2" w:rsidP="009B53C5">
      <w:pPr>
        <w:rPr>
          <w:rFonts w:ascii="Times New Roman" w:hAnsi="Times New Roman" w:cs="Times New Roman"/>
          <w:b/>
        </w:rPr>
      </w:pPr>
    </w:p>
    <w:p w:rsidR="003C293A" w:rsidRPr="0076555B" w:rsidRDefault="003C293A" w:rsidP="003C293A">
      <w:pPr>
        <w:rPr>
          <w:rFonts w:ascii="Times New Roman" w:hAnsi="Times New Roman" w:cs="Times New Roman"/>
          <w:b/>
          <w:color w:val="002060"/>
        </w:rPr>
      </w:pPr>
      <w:r w:rsidRPr="0076555B">
        <w:rPr>
          <w:rFonts w:ascii="Times New Roman" w:hAnsi="Times New Roman" w:cs="Times New Roman"/>
          <w:b/>
          <w:color w:val="002060"/>
        </w:rPr>
        <w:t>Application of SORP and FRS 102 service concession arrangements</w:t>
      </w:r>
    </w:p>
    <w:p w:rsidR="009B53C5" w:rsidRPr="005F278F" w:rsidRDefault="009B53C5" w:rsidP="009B53C5">
      <w:pPr>
        <w:rPr>
          <w:rFonts w:ascii="Times New Roman" w:hAnsi="Times New Roman" w:cs="Times New Roman"/>
          <w:b/>
        </w:rPr>
      </w:pPr>
      <w:r w:rsidRPr="005F278F">
        <w:rPr>
          <w:rFonts w:ascii="Times New Roman" w:hAnsi="Times New Roman" w:cs="Times New Roman"/>
          <w:b/>
        </w:rPr>
        <w:t>1)  Does the institution acts as principal in the arrangement?</w:t>
      </w:r>
    </w:p>
    <w:p w:rsidR="0039518E" w:rsidRPr="005F278F" w:rsidRDefault="00CE678C" w:rsidP="009B53C5">
      <w:pPr>
        <w:rPr>
          <w:rFonts w:ascii="Times New Roman" w:hAnsi="Times New Roman" w:cs="Times New Roman"/>
          <w:b/>
        </w:rPr>
      </w:pPr>
      <w:r w:rsidRPr="005F278F">
        <w:rPr>
          <w:rFonts w:ascii="Times New Roman" w:hAnsi="Times New Roman" w:cs="Times New Roman"/>
          <w:b/>
        </w:rPr>
        <w:t xml:space="preserve">Yes. </w:t>
      </w:r>
    </w:p>
    <w:p w:rsidR="009B53C5" w:rsidRPr="005F278F" w:rsidRDefault="0039518E" w:rsidP="009B53C5">
      <w:pPr>
        <w:rPr>
          <w:rFonts w:ascii="Times New Roman" w:hAnsi="Times New Roman" w:cs="Times New Roman"/>
        </w:rPr>
      </w:pPr>
      <w:r w:rsidRPr="005F278F">
        <w:rPr>
          <w:rFonts w:ascii="Times New Roman" w:hAnsi="Times New Roman" w:cs="Times New Roman"/>
        </w:rPr>
        <w:t xml:space="preserve">The </w:t>
      </w:r>
      <w:r w:rsidR="00B43083" w:rsidRPr="005F278F">
        <w:rPr>
          <w:rFonts w:ascii="Times New Roman" w:hAnsi="Times New Roman" w:cs="Times New Roman"/>
        </w:rPr>
        <w:t>U</w:t>
      </w:r>
      <w:r w:rsidR="009B53C5" w:rsidRPr="005F278F">
        <w:rPr>
          <w:rFonts w:ascii="Times New Roman" w:hAnsi="Times New Roman" w:cs="Times New Roman"/>
        </w:rPr>
        <w:t>niversity has contracted with the private sector SPV.</w:t>
      </w:r>
      <w:r w:rsidR="003C293A" w:rsidRPr="005F278F">
        <w:rPr>
          <w:rFonts w:ascii="Times New Roman" w:hAnsi="Times New Roman" w:cs="Times New Roman"/>
        </w:rPr>
        <w:t xml:space="preserve"> The University takes the credit and void risk with the student lettings and therefore acts as principal in the arrangement with the students.</w:t>
      </w:r>
    </w:p>
    <w:p w:rsidR="009B53C5" w:rsidRPr="005F278F" w:rsidRDefault="009B53C5" w:rsidP="009B53C5">
      <w:pPr>
        <w:rPr>
          <w:rFonts w:ascii="Times New Roman" w:hAnsi="Times New Roman" w:cs="Times New Roman"/>
          <w:b/>
        </w:rPr>
      </w:pPr>
      <w:r w:rsidRPr="005F278F">
        <w:rPr>
          <w:rFonts w:ascii="Times New Roman" w:hAnsi="Times New Roman" w:cs="Times New Roman"/>
          <w:b/>
        </w:rPr>
        <w:t>2) Does the arrangement meet the definition of a service concession?</w:t>
      </w:r>
    </w:p>
    <w:p w:rsidR="0039518E" w:rsidRPr="005F278F" w:rsidRDefault="00CE678C" w:rsidP="009B53C5">
      <w:pPr>
        <w:rPr>
          <w:rFonts w:ascii="Times New Roman" w:hAnsi="Times New Roman" w:cs="Times New Roman"/>
          <w:b/>
        </w:rPr>
      </w:pPr>
      <w:r w:rsidRPr="005F278F">
        <w:rPr>
          <w:rFonts w:ascii="Times New Roman" w:hAnsi="Times New Roman" w:cs="Times New Roman"/>
          <w:b/>
        </w:rPr>
        <w:t xml:space="preserve">Yes. </w:t>
      </w:r>
    </w:p>
    <w:p w:rsidR="009B53C5" w:rsidRPr="005F278F" w:rsidRDefault="009B53C5" w:rsidP="009B53C5">
      <w:pPr>
        <w:rPr>
          <w:rFonts w:ascii="Times New Roman" w:hAnsi="Times New Roman" w:cs="Times New Roman"/>
        </w:rPr>
      </w:pPr>
      <w:r w:rsidRPr="005F278F">
        <w:rPr>
          <w:rFonts w:ascii="Times New Roman" w:hAnsi="Times New Roman" w:cs="Times New Roman"/>
        </w:rPr>
        <w:t>The University (grantor) has contracted with the private sector (operator) to construct, operate and maintain infrastructure assets (student accommodation) f</w:t>
      </w:r>
      <w:r w:rsidR="007F0DE2" w:rsidRPr="005F278F">
        <w:rPr>
          <w:rFonts w:ascii="Times New Roman" w:hAnsi="Times New Roman" w:cs="Times New Roman"/>
        </w:rPr>
        <w:t>or a specified period of time (3</w:t>
      </w:r>
      <w:r w:rsidRPr="005F278F">
        <w:rPr>
          <w:rFonts w:ascii="Times New Roman" w:hAnsi="Times New Roman" w:cs="Times New Roman"/>
        </w:rPr>
        <w:t>0 years). The operator is paid for their services. The operator is contractually obliged to provide services to the public on behalf of the University</w:t>
      </w:r>
      <w:r w:rsidR="00B43083" w:rsidRPr="005F278F">
        <w:rPr>
          <w:rFonts w:ascii="Times New Roman" w:hAnsi="Times New Roman" w:cs="Times New Roman"/>
        </w:rPr>
        <w:t>.</w:t>
      </w:r>
    </w:p>
    <w:p w:rsidR="009B53C5" w:rsidRPr="005F278F" w:rsidRDefault="009B53C5" w:rsidP="009B53C5">
      <w:pPr>
        <w:rPr>
          <w:rFonts w:ascii="Times New Roman" w:hAnsi="Times New Roman" w:cs="Times New Roman"/>
          <w:b/>
        </w:rPr>
      </w:pPr>
      <w:r w:rsidRPr="005F278F">
        <w:rPr>
          <w:rFonts w:ascii="Times New Roman" w:hAnsi="Times New Roman" w:cs="Times New Roman"/>
          <w:b/>
        </w:rPr>
        <w:t>3) Does the arrangement pass the control test in FRS102?</w:t>
      </w:r>
    </w:p>
    <w:p w:rsidR="009B53C5" w:rsidRPr="005F278F" w:rsidRDefault="009B53C5" w:rsidP="009B53C5">
      <w:pPr>
        <w:autoSpaceDE w:val="0"/>
        <w:autoSpaceDN w:val="0"/>
        <w:adjustRightInd w:val="0"/>
        <w:rPr>
          <w:rFonts w:ascii="Times New Roman" w:hAnsi="Times New Roman" w:cs="Times New Roman"/>
          <w:b/>
          <w:color w:val="231F20"/>
        </w:rPr>
      </w:pPr>
      <w:r w:rsidRPr="005F278F">
        <w:rPr>
          <w:rFonts w:ascii="Times New Roman" w:hAnsi="Times New Roman" w:cs="Times New Roman"/>
          <w:b/>
        </w:rPr>
        <w:t xml:space="preserve">a) Does </w:t>
      </w:r>
      <w:r w:rsidRPr="005F278F">
        <w:rPr>
          <w:rFonts w:ascii="Times New Roman" w:hAnsi="Times New Roman" w:cs="Times New Roman"/>
          <w:b/>
          <w:color w:val="231F20"/>
        </w:rPr>
        <w:t>the University control or regulate what services the operator must provide using the infrastructure assets, to whom, and at what price?</w:t>
      </w:r>
    </w:p>
    <w:p w:rsidR="0039518E" w:rsidRPr="005F278F" w:rsidRDefault="00CE678C" w:rsidP="009B53C5">
      <w:pPr>
        <w:rPr>
          <w:rFonts w:ascii="Times New Roman" w:hAnsi="Times New Roman" w:cs="Times New Roman"/>
          <w:b/>
        </w:rPr>
      </w:pPr>
      <w:r w:rsidRPr="005F278F">
        <w:rPr>
          <w:rFonts w:ascii="Times New Roman" w:hAnsi="Times New Roman" w:cs="Times New Roman"/>
          <w:b/>
        </w:rPr>
        <w:t xml:space="preserve">Yes. </w:t>
      </w:r>
    </w:p>
    <w:p w:rsidR="0039518E" w:rsidRPr="005F278F" w:rsidRDefault="0039518E" w:rsidP="0039518E">
      <w:pPr>
        <w:rPr>
          <w:rFonts w:ascii="Times New Roman" w:hAnsi="Times New Roman" w:cs="Times New Roman"/>
        </w:rPr>
      </w:pPr>
      <w:r w:rsidRPr="005F278F">
        <w:rPr>
          <w:rFonts w:ascii="Times New Roman" w:hAnsi="Times New Roman" w:cs="Times New Roman"/>
          <w:b/>
        </w:rPr>
        <w:lastRenderedPageBreak/>
        <w:t>Control of services:</w:t>
      </w:r>
      <w:r w:rsidRPr="005F278F">
        <w:rPr>
          <w:rFonts w:ascii="Times New Roman" w:hAnsi="Times New Roman" w:cs="Times New Roman"/>
        </w:rPr>
        <w:t xml:space="preserve"> The University requires the SPV to provide and maintain specific student accommodation assets.</w:t>
      </w:r>
    </w:p>
    <w:p w:rsidR="0039518E" w:rsidRPr="005F278F" w:rsidRDefault="0039518E" w:rsidP="0039518E">
      <w:pPr>
        <w:rPr>
          <w:rFonts w:ascii="Times New Roman" w:hAnsi="Times New Roman" w:cs="Times New Roman"/>
        </w:rPr>
      </w:pPr>
      <w:r w:rsidRPr="005F278F">
        <w:rPr>
          <w:rFonts w:ascii="Times New Roman" w:hAnsi="Times New Roman" w:cs="Times New Roman"/>
          <w:b/>
        </w:rPr>
        <w:t>Control of who uses the asset:</w:t>
      </w:r>
      <w:r w:rsidRPr="005F278F">
        <w:rPr>
          <w:rFonts w:ascii="Times New Roman" w:hAnsi="Times New Roman" w:cs="Times New Roman"/>
        </w:rPr>
        <w:t xml:space="preserve"> The university controls the students who use the student accommodation</w:t>
      </w:r>
      <w:r w:rsidR="00366B19" w:rsidRPr="005F278F">
        <w:rPr>
          <w:rFonts w:ascii="Times New Roman" w:hAnsi="Times New Roman" w:cs="Times New Roman"/>
        </w:rPr>
        <w:t xml:space="preserve"> by having the option to nominate up to 100% of the rooms in a given year</w:t>
      </w:r>
      <w:r w:rsidRPr="005F278F">
        <w:rPr>
          <w:rFonts w:ascii="Times New Roman" w:hAnsi="Times New Roman" w:cs="Times New Roman"/>
        </w:rPr>
        <w:t>.</w:t>
      </w:r>
    </w:p>
    <w:p w:rsidR="0039518E" w:rsidRPr="005F278F" w:rsidRDefault="0039518E" w:rsidP="0039518E">
      <w:pPr>
        <w:rPr>
          <w:rFonts w:ascii="Times New Roman" w:hAnsi="Times New Roman" w:cs="Times New Roman"/>
        </w:rPr>
      </w:pPr>
      <w:r w:rsidRPr="005F278F">
        <w:rPr>
          <w:rFonts w:ascii="Times New Roman" w:hAnsi="Times New Roman" w:cs="Times New Roman"/>
          <w:b/>
        </w:rPr>
        <w:t>Control of price:</w:t>
      </w:r>
      <w:r w:rsidRPr="005F278F">
        <w:rPr>
          <w:rFonts w:ascii="Times New Roman" w:hAnsi="Times New Roman" w:cs="Times New Roman"/>
        </w:rPr>
        <w:t xml:space="preserve"> The contract with the operator includes a number of conditions in relation to the </w:t>
      </w:r>
      <w:r w:rsidR="00366B19" w:rsidRPr="005F278F">
        <w:rPr>
          <w:rFonts w:ascii="Times New Roman" w:hAnsi="Times New Roman" w:cs="Times New Roman"/>
        </w:rPr>
        <w:t>rent to be set</w:t>
      </w:r>
      <w:r w:rsidR="00B43083" w:rsidRPr="005F278F">
        <w:rPr>
          <w:rFonts w:ascii="Times New Roman" w:hAnsi="Times New Roman" w:cs="Times New Roman"/>
        </w:rPr>
        <w:t>.</w:t>
      </w:r>
    </w:p>
    <w:p w:rsidR="00366B19" w:rsidRPr="005F278F" w:rsidRDefault="00366B19" w:rsidP="0039518E">
      <w:pPr>
        <w:rPr>
          <w:rFonts w:ascii="Times New Roman" w:hAnsi="Times New Roman" w:cs="Times New Roman"/>
        </w:rPr>
      </w:pPr>
      <w:r w:rsidRPr="005F278F">
        <w:rPr>
          <w:rFonts w:ascii="Times New Roman" w:hAnsi="Times New Roman" w:cs="Times New Roman"/>
        </w:rPr>
        <w:t>The presence of the contractual agreement over the service specification and price mechanism  and the fact that the University has full control over the students that occupy the accommodation means that the University does control the services the operator must provide and at what price.</w:t>
      </w:r>
    </w:p>
    <w:p w:rsidR="009B53C5" w:rsidRPr="005F278F" w:rsidRDefault="009B53C5" w:rsidP="009B53C5">
      <w:pPr>
        <w:rPr>
          <w:rFonts w:ascii="Times New Roman" w:hAnsi="Times New Roman" w:cs="Times New Roman"/>
          <w:b/>
          <w:color w:val="231F20"/>
        </w:rPr>
      </w:pPr>
      <w:r w:rsidRPr="005F278F">
        <w:rPr>
          <w:rFonts w:ascii="Times New Roman" w:hAnsi="Times New Roman" w:cs="Times New Roman"/>
          <w:b/>
          <w:color w:val="231F20"/>
        </w:rPr>
        <w:t>b) Does the grantor control, through ownership, beneficial entitlement or otherwise, any significant residual interest in the assets at the end of the term of the arrangement?</w:t>
      </w:r>
    </w:p>
    <w:p w:rsidR="00366B19" w:rsidRPr="005F278F" w:rsidRDefault="00CE678C" w:rsidP="009B53C5">
      <w:pPr>
        <w:rPr>
          <w:rFonts w:ascii="Times New Roman" w:hAnsi="Times New Roman" w:cs="Times New Roman"/>
          <w:b/>
        </w:rPr>
      </w:pPr>
      <w:r w:rsidRPr="005F278F">
        <w:rPr>
          <w:rFonts w:ascii="Times New Roman" w:hAnsi="Times New Roman" w:cs="Times New Roman"/>
          <w:b/>
        </w:rPr>
        <w:t>Yes</w:t>
      </w:r>
    </w:p>
    <w:p w:rsidR="009B53C5" w:rsidRPr="005F278F" w:rsidRDefault="00366B19" w:rsidP="009B53C5">
      <w:pPr>
        <w:rPr>
          <w:rFonts w:ascii="Times New Roman" w:hAnsi="Times New Roman" w:cs="Times New Roman"/>
        </w:rPr>
      </w:pPr>
      <w:r w:rsidRPr="005F278F">
        <w:rPr>
          <w:rFonts w:ascii="Times New Roman" w:hAnsi="Times New Roman" w:cs="Times New Roman"/>
        </w:rPr>
        <w:t>T</w:t>
      </w:r>
      <w:r w:rsidR="007F0DE2" w:rsidRPr="005F278F">
        <w:rPr>
          <w:rFonts w:ascii="Times New Roman" w:hAnsi="Times New Roman" w:cs="Times New Roman"/>
        </w:rPr>
        <w:t xml:space="preserve">he </w:t>
      </w:r>
      <w:r w:rsidR="00B43083" w:rsidRPr="005F278F">
        <w:rPr>
          <w:rFonts w:ascii="Times New Roman" w:hAnsi="Times New Roman" w:cs="Times New Roman"/>
        </w:rPr>
        <w:t>h</w:t>
      </w:r>
      <w:r w:rsidR="007F0DE2" w:rsidRPr="005F278F">
        <w:rPr>
          <w:rFonts w:ascii="Times New Roman" w:hAnsi="Times New Roman" w:cs="Times New Roman"/>
        </w:rPr>
        <w:t xml:space="preserve">eadlease and </w:t>
      </w:r>
      <w:r w:rsidR="00B43083" w:rsidRPr="005F278F">
        <w:rPr>
          <w:rFonts w:ascii="Times New Roman" w:hAnsi="Times New Roman" w:cs="Times New Roman"/>
        </w:rPr>
        <w:t>u</w:t>
      </w:r>
      <w:r w:rsidR="007F0DE2" w:rsidRPr="005F278F">
        <w:rPr>
          <w:rFonts w:ascii="Times New Roman" w:hAnsi="Times New Roman" w:cs="Times New Roman"/>
        </w:rPr>
        <w:t>nderlease are for the majority of the life of the asset.</w:t>
      </w:r>
      <w:r w:rsidR="003C293A" w:rsidRPr="005F278F">
        <w:rPr>
          <w:rFonts w:ascii="Times New Roman" w:hAnsi="Times New Roman" w:cs="Times New Roman"/>
        </w:rPr>
        <w:t xml:space="preserve"> At the end of the term the headlease and therefore the asset revert back to the University. </w:t>
      </w:r>
    </w:p>
    <w:p w:rsidR="00CE678C" w:rsidRPr="0076555B" w:rsidRDefault="003A1DC1" w:rsidP="003A1DC1">
      <w:pPr>
        <w:rPr>
          <w:rFonts w:ascii="Times New Roman" w:hAnsi="Times New Roman" w:cs="Times New Roman"/>
          <w:b/>
          <w:color w:val="002060"/>
        </w:rPr>
      </w:pPr>
      <w:r w:rsidRPr="0076555B">
        <w:rPr>
          <w:rFonts w:ascii="Times New Roman" w:hAnsi="Times New Roman" w:cs="Times New Roman"/>
          <w:b/>
          <w:color w:val="002060"/>
        </w:rPr>
        <w:t xml:space="preserve">Accounting for the scheme - </w:t>
      </w:r>
      <w:r w:rsidR="00CE678C" w:rsidRPr="0076555B">
        <w:rPr>
          <w:rFonts w:ascii="Times New Roman" w:hAnsi="Times New Roman" w:cs="Times New Roman"/>
          <w:b/>
          <w:color w:val="002060"/>
        </w:rPr>
        <w:t>Has the institution guaranteed a minimum payment to the operator?</w:t>
      </w:r>
    </w:p>
    <w:p w:rsidR="00366B19" w:rsidRPr="005F278F" w:rsidRDefault="003A1DC1" w:rsidP="009B53C5">
      <w:pPr>
        <w:rPr>
          <w:rFonts w:ascii="Times New Roman" w:hAnsi="Times New Roman" w:cs="Times New Roman"/>
          <w:b/>
        </w:rPr>
      </w:pPr>
      <w:r w:rsidRPr="005F278F">
        <w:rPr>
          <w:rFonts w:ascii="Times New Roman" w:hAnsi="Times New Roman" w:cs="Times New Roman"/>
          <w:b/>
        </w:rPr>
        <w:t>Possible, but unlikely</w:t>
      </w:r>
    </w:p>
    <w:p w:rsidR="003C0C8F" w:rsidRPr="005F278F" w:rsidRDefault="003C0C8F" w:rsidP="00366B19">
      <w:pPr>
        <w:rPr>
          <w:rFonts w:ascii="Times New Roman" w:hAnsi="Times New Roman" w:cs="Times New Roman"/>
        </w:rPr>
      </w:pPr>
      <w:r w:rsidRPr="005F278F">
        <w:rPr>
          <w:rFonts w:ascii="Times New Roman" w:hAnsi="Times New Roman" w:cs="Times New Roman"/>
        </w:rPr>
        <w:t>The university has a guarantee once it has contracted with the individual student.  If at the balance sheet date the University does have a guarantee relating to the associated minimum rental.  However in practice this takes place with</w:t>
      </w:r>
      <w:r w:rsidR="007B0BD2">
        <w:rPr>
          <w:rFonts w:ascii="Times New Roman" w:hAnsi="Times New Roman" w:cs="Times New Roman"/>
        </w:rPr>
        <w:t>in</w:t>
      </w:r>
      <w:r w:rsidRPr="005F278F">
        <w:rPr>
          <w:rFonts w:ascii="Times New Roman" w:hAnsi="Times New Roman" w:cs="Times New Roman"/>
        </w:rPr>
        <w:t xml:space="preserve"> a financial year.</w:t>
      </w:r>
    </w:p>
    <w:p w:rsidR="00366B19" w:rsidRPr="005F278F" w:rsidRDefault="00366B19" w:rsidP="00366B19">
      <w:pPr>
        <w:rPr>
          <w:rFonts w:ascii="Times New Roman" w:hAnsi="Times New Roman" w:cs="Times New Roman"/>
          <w:b/>
          <w:i/>
        </w:rPr>
      </w:pPr>
      <w:r w:rsidRPr="005F278F">
        <w:rPr>
          <w:rFonts w:ascii="Times New Roman" w:hAnsi="Times New Roman" w:cs="Times New Roman"/>
          <w:b/>
          <w:i/>
        </w:rPr>
        <w:t>Summary</w:t>
      </w:r>
    </w:p>
    <w:p w:rsidR="00366B19" w:rsidRPr="005F278F" w:rsidRDefault="00366B19" w:rsidP="009B53C5">
      <w:pPr>
        <w:rPr>
          <w:rFonts w:ascii="Times New Roman" w:hAnsi="Times New Roman" w:cs="Times New Roman"/>
          <w:b/>
          <w:i/>
        </w:rPr>
      </w:pPr>
      <w:r w:rsidRPr="005F278F">
        <w:rPr>
          <w:rFonts w:ascii="Times New Roman" w:hAnsi="Times New Roman" w:cs="Times New Roman"/>
          <w:b/>
          <w:i/>
        </w:rPr>
        <w:t>An arrangement has to pass all the tests set out above to be a service concession arrangement. The above example passes tests 1 to 3 but does not have a minimum guaranteed lease payment and is therefore not considered a service concession arrangement.</w:t>
      </w:r>
    </w:p>
    <w:p w:rsidR="009B53C5" w:rsidRPr="005F278F" w:rsidRDefault="00366B19" w:rsidP="009B53C5">
      <w:pPr>
        <w:rPr>
          <w:rFonts w:ascii="Times New Roman" w:hAnsi="Times New Roman" w:cs="Times New Roman"/>
          <w:b/>
        </w:rPr>
      </w:pPr>
      <w:r w:rsidRPr="005F278F">
        <w:rPr>
          <w:rFonts w:ascii="Times New Roman" w:hAnsi="Times New Roman" w:cs="Times New Roman"/>
          <w:b/>
          <w:i/>
        </w:rPr>
        <w:t xml:space="preserve"> </w:t>
      </w:r>
      <w:r w:rsidR="009B53C5" w:rsidRPr="005F278F">
        <w:rPr>
          <w:rFonts w:ascii="Times New Roman" w:hAnsi="Times New Roman" w:cs="Times New Roman"/>
          <w:b/>
        </w:rPr>
        <w:t>Accounting treatment under 2007 SORP</w:t>
      </w:r>
    </w:p>
    <w:p w:rsidR="009B53C5" w:rsidRPr="005F278F" w:rsidRDefault="00C35071" w:rsidP="00AE3BF7">
      <w:pPr>
        <w:rPr>
          <w:rFonts w:ascii="Times New Roman" w:hAnsi="Times New Roman" w:cs="Times New Roman"/>
        </w:rPr>
      </w:pPr>
      <w:r w:rsidRPr="005F278F">
        <w:rPr>
          <w:rFonts w:ascii="Times New Roman" w:hAnsi="Times New Roman" w:cs="Times New Roman"/>
        </w:rPr>
        <w:t>“</w:t>
      </w:r>
      <w:r w:rsidR="009B53C5" w:rsidRPr="005F278F">
        <w:rPr>
          <w:rFonts w:ascii="Times New Roman" w:hAnsi="Times New Roman" w:cs="Times New Roman"/>
        </w:rPr>
        <w:t>Off Balance Sheet</w:t>
      </w:r>
      <w:r w:rsidRPr="005F278F">
        <w:rPr>
          <w:rFonts w:ascii="Times New Roman" w:hAnsi="Times New Roman" w:cs="Times New Roman"/>
        </w:rPr>
        <w:t>” Analysis under FRS5 application note 5, a risk and rewards based standard resulted in the scheme being off balance sheet as the balance of the risks and rewards were deemed to reside with the operator. This means that amounts due to the operator are treated as an expense in the year in which they are incurred.</w:t>
      </w:r>
    </w:p>
    <w:p w:rsidR="009B53C5" w:rsidRPr="005F278F" w:rsidRDefault="009B53C5" w:rsidP="009B53C5">
      <w:pPr>
        <w:rPr>
          <w:rFonts w:ascii="Times New Roman" w:hAnsi="Times New Roman" w:cs="Times New Roman"/>
          <w:b/>
        </w:rPr>
      </w:pPr>
      <w:r w:rsidRPr="005F278F">
        <w:rPr>
          <w:rFonts w:ascii="Times New Roman" w:hAnsi="Times New Roman" w:cs="Times New Roman"/>
          <w:b/>
        </w:rPr>
        <w:t>Accounting treatment under FRS102</w:t>
      </w:r>
      <w:r w:rsidR="003C293A" w:rsidRPr="005F278F">
        <w:rPr>
          <w:rFonts w:ascii="Times New Roman" w:hAnsi="Times New Roman" w:cs="Times New Roman"/>
          <w:b/>
        </w:rPr>
        <w:t xml:space="preserve"> </w:t>
      </w:r>
    </w:p>
    <w:p w:rsidR="00C413F6" w:rsidRPr="005F278F" w:rsidRDefault="003C293A" w:rsidP="00C413F6">
      <w:pPr>
        <w:rPr>
          <w:rFonts w:ascii="Times New Roman" w:hAnsi="Times New Roman" w:cs="Times New Roman"/>
          <w:b/>
        </w:rPr>
      </w:pPr>
      <w:r w:rsidRPr="005F278F">
        <w:rPr>
          <w:rFonts w:ascii="Times New Roman" w:hAnsi="Times New Roman" w:cs="Times New Roman"/>
        </w:rPr>
        <w:t>The present value of the minimum lease payments is nil and there is no asset and corresponding liability to be recorded. Application of the lease accounting requirements will also result in no asset or liability on balance sheet since the present value of the minimum lease payments is nil.</w:t>
      </w:r>
    </w:p>
    <w:p w:rsidR="00742426" w:rsidRPr="005F278F" w:rsidRDefault="00C413F6" w:rsidP="00C413F6">
      <w:pPr>
        <w:rPr>
          <w:rFonts w:ascii="Times New Roman" w:hAnsi="Times New Roman" w:cs="Times New Roman"/>
        </w:rPr>
      </w:pPr>
      <w:r w:rsidRPr="005F278F">
        <w:rPr>
          <w:rFonts w:ascii="Times New Roman" w:hAnsi="Times New Roman" w:cs="Times New Roman"/>
        </w:rPr>
        <w:t>No balance sheet entries are required as the arrangement is off balance sheet.</w:t>
      </w:r>
      <w:r w:rsidR="005E11DC" w:rsidRPr="005F278F">
        <w:rPr>
          <w:rFonts w:ascii="Times New Roman" w:hAnsi="Times New Roman" w:cs="Times New Roman"/>
        </w:rPr>
        <w:t xml:space="preserve"> The SORP requires disclosure of the nature of the service concession arrangement even though there are no “on balance sheet” accounting </w:t>
      </w:r>
      <w:r w:rsidR="00EE4627" w:rsidRPr="005F278F">
        <w:rPr>
          <w:rFonts w:ascii="Times New Roman" w:hAnsi="Times New Roman" w:cs="Times New Roman"/>
        </w:rPr>
        <w:t>requirements.</w:t>
      </w:r>
    </w:p>
    <w:p w:rsidR="00EE4627" w:rsidRPr="005F278F" w:rsidRDefault="00EE4627" w:rsidP="00C413F6">
      <w:pPr>
        <w:rPr>
          <w:rFonts w:ascii="Times New Roman" w:hAnsi="Times New Roman" w:cs="Times New Roman"/>
        </w:rPr>
      </w:pPr>
    </w:p>
    <w:p w:rsidR="00742426" w:rsidRPr="005F278F" w:rsidRDefault="00742426" w:rsidP="00742426">
      <w:pPr>
        <w:rPr>
          <w:rFonts w:ascii="Times New Roman" w:hAnsi="Times New Roman" w:cs="Times New Roman"/>
        </w:rPr>
      </w:pPr>
      <w:r w:rsidRPr="005F278F">
        <w:rPr>
          <w:rFonts w:ascii="Times New Roman" w:hAnsi="Times New Roman" w:cs="Times New Roman"/>
        </w:rPr>
        <w:t>For this example, let</w:t>
      </w:r>
      <w:r w:rsidR="003C293A" w:rsidRPr="005F278F">
        <w:rPr>
          <w:rFonts w:ascii="Times New Roman" w:hAnsi="Times New Roman" w:cs="Times New Roman"/>
        </w:rPr>
        <w:t>s</w:t>
      </w:r>
      <w:r w:rsidRPr="005F278F">
        <w:rPr>
          <w:rFonts w:ascii="Times New Roman" w:hAnsi="Times New Roman" w:cs="Times New Roman"/>
        </w:rPr>
        <w:t xml:space="preserve"> assume:</w:t>
      </w:r>
    </w:p>
    <w:p w:rsidR="00742426" w:rsidRPr="005F278F" w:rsidRDefault="00742426" w:rsidP="00742426">
      <w:pPr>
        <w:pStyle w:val="ListParagraph"/>
        <w:numPr>
          <w:ilvl w:val="0"/>
          <w:numId w:val="8"/>
        </w:numPr>
        <w:rPr>
          <w:rFonts w:ascii="Times New Roman" w:hAnsi="Times New Roman" w:cs="Times New Roman"/>
        </w:rPr>
      </w:pPr>
      <w:r w:rsidRPr="005F278F">
        <w:rPr>
          <w:rFonts w:ascii="Times New Roman" w:hAnsi="Times New Roman" w:cs="Times New Roman"/>
        </w:rPr>
        <w:t>In year 1 the University receives £15</w:t>
      </w:r>
      <w:r w:rsidR="0039279F" w:rsidRPr="005F278F">
        <w:rPr>
          <w:rFonts w:ascii="Times New Roman" w:hAnsi="Times New Roman" w:cs="Times New Roman"/>
        </w:rPr>
        <w:t>.45</w:t>
      </w:r>
      <w:r w:rsidRPr="005F278F">
        <w:rPr>
          <w:rFonts w:ascii="Times New Roman" w:hAnsi="Times New Roman" w:cs="Times New Roman"/>
        </w:rPr>
        <w:t>m in rental income</w:t>
      </w:r>
      <w:r w:rsidR="0039279F" w:rsidRPr="005F278F">
        <w:rPr>
          <w:rFonts w:ascii="Times New Roman" w:hAnsi="Times New Roman" w:cs="Times New Roman"/>
        </w:rPr>
        <w:t xml:space="preserve"> (including the management fee)</w:t>
      </w:r>
    </w:p>
    <w:p w:rsidR="003E6EB9" w:rsidRPr="005F278F" w:rsidRDefault="00742426">
      <w:pPr>
        <w:pStyle w:val="ListParagraph"/>
        <w:numPr>
          <w:ilvl w:val="0"/>
          <w:numId w:val="8"/>
        </w:numPr>
        <w:rPr>
          <w:rFonts w:ascii="Times New Roman" w:hAnsi="Times New Roman" w:cs="Times New Roman"/>
        </w:rPr>
      </w:pPr>
      <w:r w:rsidRPr="005F278F">
        <w:rPr>
          <w:rFonts w:ascii="Times New Roman" w:hAnsi="Times New Roman" w:cs="Times New Roman"/>
        </w:rPr>
        <w:t>The management fee receivable by the University is 3%</w:t>
      </w:r>
      <w:r w:rsidR="0039279F" w:rsidRPr="005F278F">
        <w:rPr>
          <w:rFonts w:ascii="Times New Roman" w:hAnsi="Times New Roman" w:cs="Times New Roman"/>
        </w:rPr>
        <w:t>, £0.45m</w:t>
      </w:r>
      <w:r w:rsidRPr="005F278F">
        <w:rPr>
          <w:rFonts w:ascii="Times New Roman" w:hAnsi="Times New Roman" w:cs="Times New Roman"/>
        </w:rPr>
        <w:t>.</w:t>
      </w:r>
    </w:p>
    <w:p w:rsidR="003E6EB9" w:rsidRPr="005F278F" w:rsidRDefault="00CE678C">
      <w:pPr>
        <w:rPr>
          <w:rFonts w:ascii="Times New Roman" w:hAnsi="Times New Roman" w:cs="Times New Roman"/>
        </w:rPr>
      </w:pPr>
      <w:r w:rsidRPr="005F278F">
        <w:rPr>
          <w:rFonts w:ascii="Times New Roman" w:hAnsi="Times New Roman" w:cs="Times New Roman"/>
        </w:rPr>
        <w:t>Annual entries in the University’s accounts would be:</w:t>
      </w:r>
    </w:p>
    <w:p w:rsidR="00C413F6" w:rsidRPr="005F278F" w:rsidRDefault="00C413F6" w:rsidP="00C413F6">
      <w:pPr>
        <w:spacing w:after="0"/>
        <w:rPr>
          <w:rFonts w:ascii="Times New Roman" w:hAnsi="Times New Roman" w:cs="Times New Roman"/>
        </w:rPr>
      </w:pPr>
    </w:p>
    <w:p w:rsidR="00C413F6" w:rsidRPr="005F278F" w:rsidRDefault="00C413F6" w:rsidP="00C413F6">
      <w:pPr>
        <w:spacing w:after="0"/>
        <w:rPr>
          <w:rFonts w:ascii="Times New Roman" w:hAnsi="Times New Roman" w:cs="Times New Roman"/>
        </w:rPr>
      </w:pPr>
      <w:r w:rsidRPr="005F278F">
        <w:rPr>
          <w:rFonts w:ascii="Times New Roman" w:hAnsi="Times New Roman" w:cs="Times New Roman"/>
          <w:b/>
        </w:rPr>
        <w:t>To account for the student rents collected</w:t>
      </w:r>
      <w:r w:rsidRPr="005F278F">
        <w:rPr>
          <w:rFonts w:ascii="Times New Roman" w:hAnsi="Times New Roman" w:cs="Times New Roman"/>
        </w:rPr>
        <w:t>:</w:t>
      </w:r>
    </w:p>
    <w:p w:rsidR="00C413F6" w:rsidRPr="005F278F" w:rsidRDefault="00C413F6" w:rsidP="00C413F6">
      <w:pPr>
        <w:spacing w:after="0"/>
        <w:rPr>
          <w:rFonts w:ascii="Times New Roman" w:hAnsi="Times New Roman" w:cs="Times New Roman"/>
        </w:rPr>
      </w:pPr>
      <w:r w:rsidRPr="005F278F">
        <w:rPr>
          <w:rFonts w:ascii="Times New Roman" w:hAnsi="Times New Roman" w:cs="Times New Roman"/>
        </w:rPr>
        <w:t>Dr Cash</w:t>
      </w:r>
      <w:r w:rsidR="0039279F" w:rsidRPr="005F278F">
        <w:rPr>
          <w:rFonts w:ascii="Times New Roman" w:hAnsi="Times New Roman" w:cs="Times New Roman"/>
        </w:rPr>
        <w:tab/>
      </w:r>
      <w:r w:rsidR="0039279F" w:rsidRPr="005F278F">
        <w:rPr>
          <w:rFonts w:ascii="Times New Roman" w:hAnsi="Times New Roman" w:cs="Times New Roman"/>
        </w:rPr>
        <w:tab/>
      </w:r>
      <w:r w:rsidR="0039279F" w:rsidRPr="005F278F">
        <w:rPr>
          <w:rFonts w:ascii="Times New Roman" w:hAnsi="Times New Roman" w:cs="Times New Roman"/>
        </w:rPr>
        <w:tab/>
      </w:r>
      <w:r w:rsidR="0039279F" w:rsidRPr="005F278F">
        <w:rPr>
          <w:rFonts w:ascii="Times New Roman" w:hAnsi="Times New Roman" w:cs="Times New Roman"/>
        </w:rPr>
        <w:tab/>
      </w:r>
      <w:r w:rsidR="0039279F" w:rsidRPr="005F278F">
        <w:rPr>
          <w:rFonts w:ascii="Times New Roman" w:hAnsi="Times New Roman" w:cs="Times New Roman"/>
        </w:rPr>
        <w:tab/>
      </w:r>
      <w:r w:rsidR="00742426" w:rsidRPr="005F278F">
        <w:rPr>
          <w:rFonts w:ascii="Times New Roman" w:hAnsi="Times New Roman" w:cs="Times New Roman"/>
        </w:rPr>
        <w:t>£15</w:t>
      </w:r>
      <w:r w:rsidR="0039279F" w:rsidRPr="005F278F">
        <w:rPr>
          <w:rFonts w:ascii="Times New Roman" w:hAnsi="Times New Roman" w:cs="Times New Roman"/>
        </w:rPr>
        <w:t>.45</w:t>
      </w:r>
      <w:r w:rsidR="00742426" w:rsidRPr="005F278F">
        <w:rPr>
          <w:rFonts w:ascii="Times New Roman" w:hAnsi="Times New Roman" w:cs="Times New Roman"/>
        </w:rPr>
        <w:t>m</w:t>
      </w:r>
    </w:p>
    <w:p w:rsidR="00C413F6" w:rsidRPr="005F278F" w:rsidRDefault="0039279F" w:rsidP="00C413F6">
      <w:pPr>
        <w:spacing w:after="0"/>
        <w:rPr>
          <w:rFonts w:ascii="Times New Roman" w:hAnsi="Times New Roman" w:cs="Times New Roman"/>
        </w:rPr>
      </w:pPr>
      <w:r w:rsidRPr="005F278F">
        <w:rPr>
          <w:rFonts w:ascii="Times New Roman" w:hAnsi="Times New Roman" w:cs="Times New Roman"/>
        </w:rPr>
        <w:tab/>
      </w:r>
      <w:r w:rsidR="00C413F6" w:rsidRPr="005F278F">
        <w:rPr>
          <w:rFonts w:ascii="Times New Roman" w:hAnsi="Times New Roman" w:cs="Times New Roman"/>
        </w:rPr>
        <w:t>Cr Accommodation Income</w:t>
      </w:r>
      <w:r w:rsidRPr="005F278F">
        <w:rPr>
          <w:rFonts w:ascii="Times New Roman" w:hAnsi="Times New Roman" w:cs="Times New Roman"/>
        </w:rPr>
        <w:t xml:space="preserve">               </w:t>
      </w:r>
      <w:r w:rsidRPr="005F278F">
        <w:rPr>
          <w:rFonts w:ascii="Times New Roman" w:hAnsi="Times New Roman" w:cs="Times New Roman"/>
        </w:rPr>
        <w:tab/>
        <w:t>(</w:t>
      </w:r>
      <w:r w:rsidR="00742426" w:rsidRPr="005F278F">
        <w:rPr>
          <w:rFonts w:ascii="Times New Roman" w:hAnsi="Times New Roman" w:cs="Times New Roman"/>
        </w:rPr>
        <w:t>£15m</w:t>
      </w:r>
      <w:r w:rsidRPr="005F278F">
        <w:rPr>
          <w:rFonts w:ascii="Times New Roman" w:hAnsi="Times New Roman" w:cs="Times New Roman"/>
        </w:rPr>
        <w:t>)</w:t>
      </w:r>
    </w:p>
    <w:p w:rsidR="0039279F" w:rsidRPr="005F278F" w:rsidRDefault="0039279F" w:rsidP="0039279F">
      <w:pPr>
        <w:spacing w:after="0"/>
        <w:ind w:firstLine="720"/>
        <w:rPr>
          <w:rFonts w:ascii="Times New Roman" w:hAnsi="Times New Roman" w:cs="Times New Roman"/>
        </w:rPr>
      </w:pPr>
      <w:r w:rsidRPr="005F278F">
        <w:rPr>
          <w:rFonts w:ascii="Times New Roman" w:hAnsi="Times New Roman" w:cs="Times New Roman"/>
        </w:rPr>
        <w:t xml:space="preserve">Cr Management </w:t>
      </w:r>
      <w:r w:rsidR="00B43083" w:rsidRPr="005F278F">
        <w:rPr>
          <w:rFonts w:ascii="Times New Roman" w:hAnsi="Times New Roman" w:cs="Times New Roman"/>
        </w:rPr>
        <w:t>F</w:t>
      </w:r>
      <w:r w:rsidRPr="005F278F">
        <w:rPr>
          <w:rFonts w:ascii="Times New Roman" w:hAnsi="Times New Roman" w:cs="Times New Roman"/>
        </w:rPr>
        <w:t xml:space="preserve">ee </w:t>
      </w:r>
      <w:r w:rsidR="00B43083" w:rsidRPr="005F278F">
        <w:rPr>
          <w:rFonts w:ascii="Times New Roman" w:hAnsi="Times New Roman" w:cs="Times New Roman"/>
        </w:rPr>
        <w:t>I</w:t>
      </w:r>
      <w:r w:rsidRPr="005F278F">
        <w:rPr>
          <w:rFonts w:ascii="Times New Roman" w:hAnsi="Times New Roman" w:cs="Times New Roman"/>
        </w:rPr>
        <w:t>ncome</w:t>
      </w:r>
      <w:r w:rsidRPr="005F278F">
        <w:rPr>
          <w:rFonts w:ascii="Times New Roman" w:hAnsi="Times New Roman" w:cs="Times New Roman"/>
        </w:rPr>
        <w:tab/>
      </w:r>
      <w:r w:rsidRPr="005F278F">
        <w:rPr>
          <w:rFonts w:ascii="Times New Roman" w:hAnsi="Times New Roman" w:cs="Times New Roman"/>
        </w:rPr>
        <w:tab/>
        <w:t>(£0.45m)</w:t>
      </w:r>
    </w:p>
    <w:p w:rsidR="00C413F6" w:rsidRPr="005F278F" w:rsidRDefault="00C413F6" w:rsidP="00C413F6">
      <w:pPr>
        <w:spacing w:after="0"/>
        <w:rPr>
          <w:rFonts w:ascii="Times New Roman" w:hAnsi="Times New Roman" w:cs="Times New Roman"/>
        </w:rPr>
      </w:pPr>
    </w:p>
    <w:p w:rsidR="00C413F6" w:rsidRPr="005F278F" w:rsidRDefault="00C413F6" w:rsidP="00C413F6">
      <w:pPr>
        <w:spacing w:after="0"/>
        <w:rPr>
          <w:rFonts w:ascii="Times New Roman" w:hAnsi="Times New Roman" w:cs="Times New Roman"/>
        </w:rPr>
      </w:pPr>
      <w:r w:rsidRPr="005F278F">
        <w:rPr>
          <w:rFonts w:ascii="Times New Roman" w:hAnsi="Times New Roman" w:cs="Times New Roman"/>
          <w:b/>
        </w:rPr>
        <w:t xml:space="preserve">To account for the rent transferred to </w:t>
      </w:r>
      <w:r w:rsidR="003C293A" w:rsidRPr="005F278F">
        <w:rPr>
          <w:rFonts w:ascii="Times New Roman" w:hAnsi="Times New Roman" w:cs="Times New Roman"/>
          <w:b/>
        </w:rPr>
        <w:t>SPV</w:t>
      </w:r>
      <w:r w:rsidRPr="005F278F">
        <w:rPr>
          <w:rFonts w:ascii="Times New Roman" w:hAnsi="Times New Roman" w:cs="Times New Roman"/>
        </w:rPr>
        <w:t>:</w:t>
      </w:r>
    </w:p>
    <w:p w:rsidR="0039279F" w:rsidRPr="005F278F" w:rsidRDefault="00C413F6" w:rsidP="00C413F6">
      <w:pPr>
        <w:spacing w:after="0"/>
        <w:rPr>
          <w:rFonts w:ascii="Times New Roman" w:hAnsi="Times New Roman" w:cs="Times New Roman"/>
        </w:rPr>
      </w:pPr>
      <w:r w:rsidRPr="005F278F">
        <w:rPr>
          <w:rFonts w:ascii="Times New Roman" w:hAnsi="Times New Roman" w:cs="Times New Roman"/>
        </w:rPr>
        <w:t xml:space="preserve">Dr Accommodation </w:t>
      </w:r>
      <w:r w:rsidR="00B43083" w:rsidRPr="005F278F">
        <w:rPr>
          <w:rFonts w:ascii="Times New Roman" w:hAnsi="Times New Roman" w:cs="Times New Roman"/>
        </w:rPr>
        <w:t>E</w:t>
      </w:r>
      <w:r w:rsidRPr="005F278F">
        <w:rPr>
          <w:rFonts w:ascii="Times New Roman" w:hAnsi="Times New Roman" w:cs="Times New Roman"/>
        </w:rPr>
        <w:t>xpenses</w:t>
      </w:r>
      <w:r w:rsidR="00742426" w:rsidRPr="005F278F">
        <w:rPr>
          <w:rFonts w:ascii="Times New Roman" w:hAnsi="Times New Roman" w:cs="Times New Roman"/>
        </w:rPr>
        <w:t xml:space="preserve">                          </w:t>
      </w:r>
      <w:r w:rsidR="0039279F" w:rsidRPr="005F278F">
        <w:rPr>
          <w:rFonts w:ascii="Times New Roman" w:hAnsi="Times New Roman" w:cs="Times New Roman"/>
        </w:rPr>
        <w:tab/>
      </w:r>
      <w:r w:rsidR="00742426" w:rsidRPr="005F278F">
        <w:rPr>
          <w:rFonts w:ascii="Times New Roman" w:hAnsi="Times New Roman" w:cs="Times New Roman"/>
        </w:rPr>
        <w:t>£15m</w:t>
      </w:r>
    </w:p>
    <w:p w:rsidR="00C413F6" w:rsidRPr="005F278F" w:rsidRDefault="00C413F6" w:rsidP="0039279F">
      <w:pPr>
        <w:spacing w:after="0"/>
        <w:ind w:firstLine="720"/>
        <w:rPr>
          <w:rFonts w:ascii="Times New Roman" w:hAnsi="Times New Roman" w:cs="Times New Roman"/>
        </w:rPr>
      </w:pPr>
      <w:r w:rsidRPr="005F278F">
        <w:rPr>
          <w:rFonts w:ascii="Times New Roman" w:hAnsi="Times New Roman" w:cs="Times New Roman"/>
        </w:rPr>
        <w:t>Cr Cash</w:t>
      </w:r>
      <w:r w:rsidR="0039279F" w:rsidRPr="005F278F">
        <w:rPr>
          <w:rFonts w:ascii="Times New Roman" w:hAnsi="Times New Roman" w:cs="Times New Roman"/>
        </w:rPr>
        <w:t xml:space="preserve">          </w:t>
      </w:r>
      <w:r w:rsidR="0039279F" w:rsidRPr="005F278F">
        <w:rPr>
          <w:rFonts w:ascii="Times New Roman" w:hAnsi="Times New Roman" w:cs="Times New Roman"/>
        </w:rPr>
        <w:tab/>
      </w:r>
      <w:r w:rsidR="0039279F" w:rsidRPr="005F278F">
        <w:rPr>
          <w:rFonts w:ascii="Times New Roman" w:hAnsi="Times New Roman" w:cs="Times New Roman"/>
        </w:rPr>
        <w:tab/>
      </w:r>
      <w:r w:rsidR="0039279F" w:rsidRPr="005F278F">
        <w:rPr>
          <w:rFonts w:ascii="Times New Roman" w:hAnsi="Times New Roman" w:cs="Times New Roman"/>
        </w:rPr>
        <w:tab/>
      </w:r>
      <w:r w:rsidR="0039279F" w:rsidRPr="005F278F">
        <w:rPr>
          <w:rFonts w:ascii="Times New Roman" w:hAnsi="Times New Roman" w:cs="Times New Roman"/>
        </w:rPr>
        <w:tab/>
        <w:t>(£15</w:t>
      </w:r>
      <w:r w:rsidR="00742426" w:rsidRPr="005F278F">
        <w:rPr>
          <w:rFonts w:ascii="Times New Roman" w:hAnsi="Times New Roman" w:cs="Times New Roman"/>
        </w:rPr>
        <w:t>m</w:t>
      </w:r>
      <w:r w:rsidR="0039279F" w:rsidRPr="005F278F">
        <w:rPr>
          <w:rFonts w:ascii="Times New Roman" w:hAnsi="Times New Roman" w:cs="Times New Roman"/>
        </w:rPr>
        <w:t>)</w:t>
      </w:r>
    </w:p>
    <w:p w:rsidR="00C413F6" w:rsidRPr="005F278F" w:rsidRDefault="00C413F6" w:rsidP="00C413F6">
      <w:pPr>
        <w:rPr>
          <w:rFonts w:ascii="Times New Roman" w:hAnsi="Times New Roman" w:cs="Times New Roman"/>
        </w:rPr>
      </w:pPr>
    </w:p>
    <w:p w:rsidR="00C413F6" w:rsidRPr="005F278F" w:rsidRDefault="0039279F" w:rsidP="00C958EF">
      <w:pPr>
        <w:rPr>
          <w:rFonts w:ascii="Times New Roman" w:hAnsi="Times New Roman" w:cs="Times New Roman"/>
        </w:rPr>
      </w:pPr>
      <w:r w:rsidRPr="005F278F">
        <w:rPr>
          <w:rFonts w:ascii="Times New Roman" w:hAnsi="Times New Roman" w:cs="Times New Roman"/>
        </w:rPr>
        <w:t>Since the University retains the management fee income through the contract with the SPV it should NOT gross up the income and expenditure (</w:t>
      </w:r>
      <w:r w:rsidR="00B43083" w:rsidRPr="005F278F">
        <w:rPr>
          <w:rFonts w:ascii="Times New Roman" w:hAnsi="Times New Roman" w:cs="Times New Roman"/>
        </w:rPr>
        <w:t>e.g.</w:t>
      </w:r>
      <w:r w:rsidRPr="005F278F">
        <w:rPr>
          <w:rFonts w:ascii="Times New Roman" w:hAnsi="Times New Roman" w:cs="Times New Roman"/>
        </w:rPr>
        <w:t xml:space="preserve"> residence income £15.45m, expense to SPV £15.45m, </w:t>
      </w:r>
      <w:r w:rsidR="00B43083" w:rsidRPr="005F278F">
        <w:rPr>
          <w:rFonts w:ascii="Times New Roman" w:hAnsi="Times New Roman" w:cs="Times New Roman"/>
        </w:rPr>
        <w:t>i</w:t>
      </w:r>
      <w:r w:rsidRPr="005F278F">
        <w:rPr>
          <w:rFonts w:ascii="Times New Roman" w:hAnsi="Times New Roman" w:cs="Times New Roman"/>
        </w:rPr>
        <w:t>ncome from SPV for management fee £0.45m, management services expense £0.45m)</w:t>
      </w:r>
      <w:r w:rsidR="00B43083" w:rsidRPr="005F278F">
        <w:rPr>
          <w:rFonts w:ascii="Times New Roman" w:hAnsi="Times New Roman" w:cs="Times New Roman"/>
        </w:rPr>
        <w:t>.</w:t>
      </w:r>
    </w:p>
    <w:p w:rsidR="00C413F6" w:rsidRPr="005F278F" w:rsidRDefault="00C413F6" w:rsidP="009B53C5">
      <w:pPr>
        <w:jc w:val="center"/>
        <w:rPr>
          <w:rFonts w:ascii="Times New Roman" w:hAnsi="Times New Roman" w:cs="Times New Roman"/>
        </w:rPr>
      </w:pPr>
    </w:p>
    <w:p w:rsidR="00C413F6" w:rsidRPr="005F278F" w:rsidRDefault="00C413F6" w:rsidP="00C958EF">
      <w:pPr>
        <w:rPr>
          <w:rFonts w:ascii="Times New Roman" w:hAnsi="Times New Roman" w:cs="Times New Roman"/>
        </w:rPr>
      </w:pPr>
    </w:p>
    <w:p w:rsidR="00366B19" w:rsidRPr="005F278F" w:rsidRDefault="00366B19">
      <w:pPr>
        <w:rPr>
          <w:rFonts w:ascii="Times New Roman" w:hAnsi="Times New Roman" w:cs="Times New Roman"/>
          <w:b/>
        </w:rPr>
      </w:pPr>
      <w:r w:rsidRPr="005F278F">
        <w:rPr>
          <w:rFonts w:ascii="Times New Roman" w:hAnsi="Times New Roman" w:cs="Times New Roman"/>
          <w:b/>
        </w:rPr>
        <w:br w:type="page"/>
      </w:r>
    </w:p>
    <w:p w:rsidR="007F0DE2" w:rsidRPr="0076555B" w:rsidRDefault="007F0DE2" w:rsidP="007F0DE2">
      <w:pPr>
        <w:rPr>
          <w:rFonts w:ascii="Times New Roman" w:hAnsi="Times New Roman" w:cs="Times New Roman"/>
          <w:b/>
          <w:color w:val="002060"/>
          <w:sz w:val="28"/>
          <w:szCs w:val="28"/>
        </w:rPr>
      </w:pPr>
      <w:r w:rsidRPr="0076555B">
        <w:rPr>
          <w:rFonts w:ascii="Times New Roman" w:hAnsi="Times New Roman" w:cs="Times New Roman"/>
          <w:b/>
          <w:color w:val="002060"/>
          <w:sz w:val="28"/>
          <w:szCs w:val="28"/>
        </w:rPr>
        <w:lastRenderedPageBreak/>
        <w:t>Case Study 3 – Residency arrangement with University holding an operating lease with a joint</w:t>
      </w:r>
      <w:r w:rsidR="008E266D">
        <w:rPr>
          <w:rFonts w:ascii="Times New Roman" w:hAnsi="Times New Roman" w:cs="Times New Roman"/>
          <w:b/>
          <w:color w:val="002060"/>
          <w:sz w:val="28"/>
          <w:szCs w:val="28"/>
        </w:rPr>
        <w:t>ly controlled entity</w:t>
      </w:r>
      <w:r w:rsidRPr="0076555B">
        <w:rPr>
          <w:rFonts w:ascii="Times New Roman" w:hAnsi="Times New Roman" w:cs="Times New Roman"/>
          <w:b/>
          <w:color w:val="002060"/>
          <w:sz w:val="28"/>
          <w:szCs w:val="28"/>
        </w:rPr>
        <w:t xml:space="preserve"> in which the University holds a 50% interest.</w:t>
      </w:r>
    </w:p>
    <w:p w:rsidR="007F0DE2" w:rsidRPr="005F278F" w:rsidRDefault="007F0DE2" w:rsidP="007F0DE2">
      <w:pPr>
        <w:rPr>
          <w:rFonts w:ascii="Times New Roman" w:hAnsi="Times New Roman" w:cs="Times New Roman"/>
          <w:b/>
        </w:rPr>
      </w:pPr>
      <w:r w:rsidRPr="005F278F">
        <w:rPr>
          <w:rFonts w:ascii="Times New Roman" w:hAnsi="Times New Roman" w:cs="Times New Roman"/>
          <w:b/>
        </w:rPr>
        <w:t>Background</w:t>
      </w:r>
    </w:p>
    <w:p w:rsidR="007F0DE2" w:rsidRPr="00E90C0D" w:rsidRDefault="00FC68EE" w:rsidP="00E90C0D">
      <w:pPr>
        <w:pStyle w:val="ListParagraph"/>
        <w:numPr>
          <w:ilvl w:val="0"/>
          <w:numId w:val="47"/>
        </w:numPr>
        <w:rPr>
          <w:rFonts w:ascii="Times New Roman" w:hAnsi="Times New Roman" w:cs="Times New Roman"/>
        </w:rPr>
      </w:pPr>
      <w:r w:rsidRPr="00E90C0D">
        <w:rPr>
          <w:rFonts w:ascii="Times New Roman" w:hAnsi="Times New Roman" w:cs="Times New Roman"/>
        </w:rPr>
        <w:t>The University hold</w:t>
      </w:r>
      <w:r w:rsidR="007B0BD2">
        <w:rPr>
          <w:rFonts w:ascii="Times New Roman" w:hAnsi="Times New Roman" w:cs="Times New Roman"/>
        </w:rPr>
        <w:t>s a 50% share in a jointly controlled entity</w:t>
      </w:r>
      <w:r w:rsidRPr="00E90C0D">
        <w:rPr>
          <w:rFonts w:ascii="Times New Roman" w:hAnsi="Times New Roman" w:cs="Times New Roman"/>
        </w:rPr>
        <w:t xml:space="preserve">. </w:t>
      </w:r>
    </w:p>
    <w:p w:rsidR="00FC68EE" w:rsidRPr="00E90C0D" w:rsidRDefault="00FC68EE" w:rsidP="00E90C0D">
      <w:pPr>
        <w:pStyle w:val="ListParagraph"/>
        <w:numPr>
          <w:ilvl w:val="0"/>
          <w:numId w:val="47"/>
        </w:numPr>
        <w:rPr>
          <w:rFonts w:ascii="Times New Roman" w:hAnsi="Times New Roman" w:cs="Times New Roman"/>
        </w:rPr>
      </w:pPr>
      <w:r w:rsidRPr="00E90C0D">
        <w:rPr>
          <w:rFonts w:ascii="Times New Roman" w:hAnsi="Times New Roman" w:cs="Times New Roman"/>
        </w:rPr>
        <w:t>The University constructed a new accommodat</w:t>
      </w:r>
      <w:r w:rsidR="008E266D">
        <w:rPr>
          <w:rFonts w:ascii="Times New Roman" w:hAnsi="Times New Roman" w:cs="Times New Roman"/>
        </w:rPr>
        <w:t>ion block and sold this to the j</w:t>
      </w:r>
      <w:r w:rsidRPr="00E90C0D">
        <w:rPr>
          <w:rFonts w:ascii="Times New Roman" w:hAnsi="Times New Roman" w:cs="Times New Roman"/>
        </w:rPr>
        <w:t>oint</w:t>
      </w:r>
      <w:r w:rsidR="008E266D">
        <w:rPr>
          <w:rFonts w:ascii="Times New Roman" w:hAnsi="Times New Roman" w:cs="Times New Roman"/>
        </w:rPr>
        <w:t>ly controlled entity</w:t>
      </w:r>
      <w:r w:rsidRPr="00E90C0D">
        <w:rPr>
          <w:rFonts w:ascii="Times New Roman" w:hAnsi="Times New Roman" w:cs="Times New Roman"/>
        </w:rPr>
        <w:t xml:space="preserve"> after 1 year. The joint venture constructed a second accommodation block.</w:t>
      </w:r>
    </w:p>
    <w:p w:rsidR="00FC68EE" w:rsidRPr="00E90C0D" w:rsidRDefault="00FC68EE" w:rsidP="00E90C0D">
      <w:pPr>
        <w:pStyle w:val="ListParagraph"/>
        <w:numPr>
          <w:ilvl w:val="0"/>
          <w:numId w:val="47"/>
        </w:numPr>
        <w:rPr>
          <w:rFonts w:ascii="Times New Roman" w:hAnsi="Times New Roman" w:cs="Times New Roman"/>
        </w:rPr>
      </w:pPr>
      <w:r w:rsidRPr="00E90C0D">
        <w:rPr>
          <w:rFonts w:ascii="Times New Roman" w:hAnsi="Times New Roman" w:cs="Times New Roman"/>
        </w:rPr>
        <w:t>Hard and lifecycle maintenance is provided via a contract between a 3</w:t>
      </w:r>
      <w:r w:rsidRPr="00E90C0D">
        <w:rPr>
          <w:rFonts w:ascii="Times New Roman" w:hAnsi="Times New Roman" w:cs="Times New Roman"/>
          <w:vertAlign w:val="superscript"/>
        </w:rPr>
        <w:t>rd</w:t>
      </w:r>
      <w:r w:rsidRPr="00E90C0D">
        <w:rPr>
          <w:rFonts w:ascii="Times New Roman" w:hAnsi="Times New Roman" w:cs="Times New Roman"/>
        </w:rPr>
        <w:t xml:space="preserve"> party contractor and the joint venture. The University provides soft facilities management for one building and a 3</w:t>
      </w:r>
      <w:r w:rsidRPr="00E90C0D">
        <w:rPr>
          <w:rFonts w:ascii="Times New Roman" w:hAnsi="Times New Roman" w:cs="Times New Roman"/>
          <w:vertAlign w:val="superscript"/>
        </w:rPr>
        <w:t>rd</w:t>
      </w:r>
      <w:r w:rsidRPr="00E90C0D">
        <w:rPr>
          <w:rFonts w:ascii="Times New Roman" w:hAnsi="Times New Roman" w:cs="Times New Roman"/>
        </w:rPr>
        <w:t xml:space="preserve"> party contractor provides it for the other building. Residential management is via the terms of a management agreement.</w:t>
      </w:r>
    </w:p>
    <w:p w:rsidR="00FC68EE" w:rsidRPr="00E90C0D" w:rsidRDefault="00FC68EE" w:rsidP="00E90C0D">
      <w:pPr>
        <w:pStyle w:val="ListParagraph"/>
        <w:numPr>
          <w:ilvl w:val="0"/>
          <w:numId w:val="47"/>
        </w:numPr>
        <w:rPr>
          <w:rFonts w:ascii="Times New Roman" w:hAnsi="Times New Roman" w:cs="Times New Roman"/>
        </w:rPr>
      </w:pPr>
      <w:r w:rsidRPr="00E90C0D">
        <w:rPr>
          <w:rFonts w:ascii="Times New Roman" w:hAnsi="Times New Roman" w:cs="Times New Roman"/>
        </w:rPr>
        <w:t>Residence agreements are between the student and the University. The University retains credit and void risk following occupation under the terms of the management agreement.</w:t>
      </w:r>
    </w:p>
    <w:p w:rsidR="00A02D9F" w:rsidRPr="00E90C0D" w:rsidRDefault="00A02D9F" w:rsidP="00E90C0D">
      <w:pPr>
        <w:pStyle w:val="ListParagraph"/>
        <w:numPr>
          <w:ilvl w:val="0"/>
          <w:numId w:val="47"/>
        </w:numPr>
        <w:rPr>
          <w:rFonts w:ascii="Times New Roman" w:hAnsi="Times New Roman" w:cs="Times New Roman"/>
        </w:rPr>
      </w:pPr>
      <w:r w:rsidRPr="00E90C0D">
        <w:rPr>
          <w:rFonts w:ascii="Times New Roman" w:hAnsi="Times New Roman" w:cs="Times New Roman"/>
        </w:rPr>
        <w:t>The University</w:t>
      </w:r>
      <w:r w:rsidR="008E266D">
        <w:rPr>
          <w:rFonts w:ascii="Times New Roman" w:hAnsi="Times New Roman" w:cs="Times New Roman"/>
        </w:rPr>
        <w:t xml:space="preserve"> has guaranteed to provide the j</w:t>
      </w:r>
      <w:r w:rsidRPr="00E90C0D">
        <w:rPr>
          <w:rFonts w:ascii="Times New Roman" w:hAnsi="Times New Roman" w:cs="Times New Roman"/>
        </w:rPr>
        <w:t>oint</w:t>
      </w:r>
      <w:r w:rsidR="008E266D">
        <w:rPr>
          <w:rFonts w:ascii="Times New Roman" w:hAnsi="Times New Roman" w:cs="Times New Roman"/>
        </w:rPr>
        <w:t>ly controlled entity</w:t>
      </w:r>
      <w:r w:rsidRPr="00E90C0D">
        <w:rPr>
          <w:rFonts w:ascii="Times New Roman" w:hAnsi="Times New Roman" w:cs="Times New Roman"/>
        </w:rPr>
        <w:t xml:space="preserve"> with 80% of the net income for the first 25 years of operation. </w:t>
      </w:r>
    </w:p>
    <w:p w:rsidR="00C958EF" w:rsidRPr="00E90C0D" w:rsidRDefault="00A02D9F" w:rsidP="00E90C0D">
      <w:pPr>
        <w:pStyle w:val="ListParagraph"/>
        <w:numPr>
          <w:ilvl w:val="0"/>
          <w:numId w:val="47"/>
        </w:numPr>
        <w:rPr>
          <w:rFonts w:ascii="Times New Roman" w:hAnsi="Times New Roman" w:cs="Times New Roman"/>
        </w:rPr>
      </w:pPr>
      <w:r w:rsidRPr="00E90C0D">
        <w:rPr>
          <w:rFonts w:ascii="Times New Roman" w:hAnsi="Times New Roman" w:cs="Times New Roman"/>
        </w:rPr>
        <w:t>The headlease is for 125 years and there is no underlease.</w:t>
      </w:r>
    </w:p>
    <w:p w:rsidR="00A02D9F" w:rsidRPr="0076555B" w:rsidRDefault="00C958EF" w:rsidP="007F0DE2">
      <w:pPr>
        <w:rPr>
          <w:rFonts w:ascii="Times New Roman" w:hAnsi="Times New Roman" w:cs="Times New Roman"/>
          <w:color w:val="002060"/>
        </w:rPr>
      </w:pPr>
      <w:r w:rsidRPr="0076555B">
        <w:rPr>
          <w:rFonts w:ascii="Times New Roman" w:hAnsi="Times New Roman" w:cs="Times New Roman"/>
          <w:b/>
          <w:color w:val="002060"/>
        </w:rPr>
        <w:t>Application of SORP and FRS 102 service concession arrangements</w:t>
      </w:r>
    </w:p>
    <w:p w:rsidR="00A02D9F" w:rsidRPr="005F278F" w:rsidRDefault="00A02D9F" w:rsidP="00A02D9F">
      <w:pPr>
        <w:rPr>
          <w:rFonts w:ascii="Times New Roman" w:hAnsi="Times New Roman" w:cs="Times New Roman"/>
          <w:b/>
        </w:rPr>
      </w:pPr>
      <w:r w:rsidRPr="005F278F">
        <w:rPr>
          <w:rFonts w:ascii="Times New Roman" w:hAnsi="Times New Roman" w:cs="Times New Roman"/>
          <w:b/>
        </w:rPr>
        <w:t>1)  Does the institution acts as principal in the arrangement?</w:t>
      </w:r>
    </w:p>
    <w:p w:rsidR="00366B19" w:rsidRPr="005F278F" w:rsidRDefault="00CE678C" w:rsidP="00A02D9F">
      <w:pPr>
        <w:rPr>
          <w:rFonts w:ascii="Times New Roman" w:hAnsi="Times New Roman" w:cs="Times New Roman"/>
        </w:rPr>
      </w:pPr>
      <w:r w:rsidRPr="005F278F">
        <w:rPr>
          <w:rFonts w:ascii="Times New Roman" w:hAnsi="Times New Roman" w:cs="Times New Roman"/>
          <w:b/>
        </w:rPr>
        <w:t>Yes.</w:t>
      </w:r>
      <w:r w:rsidR="00A02D9F" w:rsidRPr="005F278F">
        <w:rPr>
          <w:rFonts w:ascii="Times New Roman" w:hAnsi="Times New Roman" w:cs="Times New Roman"/>
        </w:rPr>
        <w:t xml:space="preserve"> </w:t>
      </w:r>
    </w:p>
    <w:p w:rsidR="00A02D9F" w:rsidRPr="005F278F" w:rsidRDefault="00B43083" w:rsidP="00A02D9F">
      <w:pPr>
        <w:rPr>
          <w:rFonts w:ascii="Times New Roman" w:hAnsi="Times New Roman" w:cs="Times New Roman"/>
        </w:rPr>
      </w:pPr>
      <w:r w:rsidRPr="005F278F">
        <w:rPr>
          <w:rFonts w:ascii="Times New Roman" w:hAnsi="Times New Roman" w:cs="Times New Roman"/>
        </w:rPr>
        <w:t xml:space="preserve">The </w:t>
      </w:r>
      <w:r w:rsidR="00A02D9F" w:rsidRPr="005F278F">
        <w:rPr>
          <w:rFonts w:ascii="Times New Roman" w:hAnsi="Times New Roman" w:cs="Times New Roman"/>
        </w:rPr>
        <w:t>University has contracted with the private sector SPV.</w:t>
      </w:r>
      <w:r w:rsidR="00C958EF" w:rsidRPr="005F278F">
        <w:rPr>
          <w:rFonts w:ascii="Times New Roman" w:hAnsi="Times New Roman" w:cs="Times New Roman"/>
        </w:rPr>
        <w:t xml:space="preserve"> The University takes the credit and void risk with the student lettings and therefore acts as principal in the arrangement with the students.</w:t>
      </w:r>
    </w:p>
    <w:p w:rsidR="00A02D9F" w:rsidRPr="005F278F" w:rsidRDefault="00A02D9F" w:rsidP="00A02D9F">
      <w:pPr>
        <w:rPr>
          <w:rFonts w:ascii="Times New Roman" w:hAnsi="Times New Roman" w:cs="Times New Roman"/>
          <w:b/>
        </w:rPr>
      </w:pPr>
      <w:r w:rsidRPr="005F278F">
        <w:rPr>
          <w:rFonts w:ascii="Times New Roman" w:hAnsi="Times New Roman" w:cs="Times New Roman"/>
          <w:b/>
        </w:rPr>
        <w:t>2) Does the arrangement meet the definition of a service concession?</w:t>
      </w:r>
    </w:p>
    <w:p w:rsidR="00366B19" w:rsidRPr="005F278F" w:rsidRDefault="00CE678C" w:rsidP="00A02D9F">
      <w:pPr>
        <w:rPr>
          <w:rFonts w:ascii="Times New Roman" w:hAnsi="Times New Roman" w:cs="Times New Roman"/>
        </w:rPr>
      </w:pPr>
      <w:r w:rsidRPr="005F278F">
        <w:rPr>
          <w:rFonts w:ascii="Times New Roman" w:hAnsi="Times New Roman" w:cs="Times New Roman"/>
          <w:b/>
        </w:rPr>
        <w:t>Yes.</w:t>
      </w:r>
      <w:r w:rsidR="00A02D9F" w:rsidRPr="005F278F">
        <w:rPr>
          <w:rFonts w:ascii="Times New Roman" w:hAnsi="Times New Roman" w:cs="Times New Roman"/>
        </w:rPr>
        <w:t xml:space="preserve"> </w:t>
      </w:r>
    </w:p>
    <w:p w:rsidR="00A02D9F" w:rsidRPr="005F278F" w:rsidRDefault="00A02D9F" w:rsidP="00A02D9F">
      <w:pPr>
        <w:rPr>
          <w:rFonts w:ascii="Times New Roman" w:hAnsi="Times New Roman" w:cs="Times New Roman"/>
        </w:rPr>
      </w:pPr>
      <w:r w:rsidRPr="005F278F">
        <w:rPr>
          <w:rFonts w:ascii="Times New Roman" w:hAnsi="Times New Roman" w:cs="Times New Roman"/>
        </w:rPr>
        <w:t>The University (grantor) has contracted with the private sector (operator) to construct, operate and maintain infrastructure assets (student accommodation) for a specified period of time (25 years). The operator is paid for their services. The operator is contractually obliged to provide services to the public on behalf of the University</w:t>
      </w:r>
    </w:p>
    <w:p w:rsidR="00A02D9F" w:rsidRPr="005F278F" w:rsidRDefault="00A02D9F" w:rsidP="00A02D9F">
      <w:pPr>
        <w:rPr>
          <w:rFonts w:ascii="Times New Roman" w:hAnsi="Times New Roman" w:cs="Times New Roman"/>
          <w:b/>
        </w:rPr>
      </w:pPr>
      <w:r w:rsidRPr="005F278F">
        <w:rPr>
          <w:rFonts w:ascii="Times New Roman" w:hAnsi="Times New Roman" w:cs="Times New Roman"/>
          <w:b/>
        </w:rPr>
        <w:t>3) Does the arrangement pass the control test in FRS102?</w:t>
      </w:r>
    </w:p>
    <w:p w:rsidR="00A02D9F" w:rsidRPr="005F278F" w:rsidRDefault="00A02D9F" w:rsidP="00A02D9F">
      <w:pPr>
        <w:autoSpaceDE w:val="0"/>
        <w:autoSpaceDN w:val="0"/>
        <w:adjustRightInd w:val="0"/>
        <w:rPr>
          <w:rFonts w:ascii="Times New Roman" w:hAnsi="Times New Roman" w:cs="Times New Roman"/>
          <w:b/>
          <w:color w:val="231F20"/>
        </w:rPr>
      </w:pPr>
      <w:r w:rsidRPr="005F278F">
        <w:rPr>
          <w:rFonts w:ascii="Times New Roman" w:hAnsi="Times New Roman" w:cs="Times New Roman"/>
          <w:b/>
        </w:rPr>
        <w:t xml:space="preserve">a) Does </w:t>
      </w:r>
      <w:r w:rsidRPr="005F278F">
        <w:rPr>
          <w:rFonts w:ascii="Times New Roman" w:hAnsi="Times New Roman" w:cs="Times New Roman"/>
          <w:b/>
          <w:color w:val="231F20"/>
        </w:rPr>
        <w:t>the University control or regulate what services the operator must provide using the infrastructure assets, to whom, and at what price?</w:t>
      </w:r>
    </w:p>
    <w:p w:rsidR="00C35071" w:rsidRPr="005F278F" w:rsidRDefault="00CE678C" w:rsidP="00A02D9F">
      <w:pPr>
        <w:rPr>
          <w:rFonts w:ascii="Times New Roman" w:hAnsi="Times New Roman" w:cs="Times New Roman"/>
          <w:b/>
        </w:rPr>
      </w:pPr>
      <w:r w:rsidRPr="005F278F">
        <w:rPr>
          <w:rFonts w:ascii="Times New Roman" w:hAnsi="Times New Roman" w:cs="Times New Roman"/>
          <w:b/>
        </w:rPr>
        <w:t xml:space="preserve">Yes. </w:t>
      </w:r>
    </w:p>
    <w:p w:rsidR="00C35071" w:rsidRPr="005F278F" w:rsidRDefault="00C35071" w:rsidP="00C35071">
      <w:pPr>
        <w:rPr>
          <w:rFonts w:ascii="Times New Roman" w:hAnsi="Times New Roman" w:cs="Times New Roman"/>
        </w:rPr>
      </w:pPr>
      <w:r w:rsidRPr="005F278F">
        <w:rPr>
          <w:rFonts w:ascii="Times New Roman" w:hAnsi="Times New Roman" w:cs="Times New Roman"/>
          <w:b/>
        </w:rPr>
        <w:t>Control of services:</w:t>
      </w:r>
      <w:r w:rsidRPr="005F278F">
        <w:rPr>
          <w:rFonts w:ascii="Times New Roman" w:hAnsi="Times New Roman" w:cs="Times New Roman"/>
        </w:rPr>
        <w:t xml:space="preserve"> The University requires the SPV to provide and maintain specific student accommodation assets.</w:t>
      </w:r>
    </w:p>
    <w:p w:rsidR="00C35071" w:rsidRPr="005F278F" w:rsidRDefault="00C35071" w:rsidP="00C35071">
      <w:pPr>
        <w:rPr>
          <w:rFonts w:ascii="Times New Roman" w:hAnsi="Times New Roman" w:cs="Times New Roman"/>
        </w:rPr>
      </w:pPr>
    </w:p>
    <w:p w:rsidR="00C35071" w:rsidRPr="005F278F" w:rsidRDefault="00C35071" w:rsidP="00C35071">
      <w:pPr>
        <w:rPr>
          <w:rFonts w:ascii="Times New Roman" w:hAnsi="Times New Roman" w:cs="Times New Roman"/>
        </w:rPr>
      </w:pPr>
      <w:r w:rsidRPr="005F278F">
        <w:rPr>
          <w:rFonts w:ascii="Times New Roman" w:hAnsi="Times New Roman" w:cs="Times New Roman"/>
          <w:b/>
        </w:rPr>
        <w:lastRenderedPageBreak/>
        <w:t>Control of who uses the asset:</w:t>
      </w:r>
      <w:r w:rsidRPr="005F278F">
        <w:rPr>
          <w:rFonts w:ascii="Times New Roman" w:hAnsi="Times New Roman" w:cs="Times New Roman"/>
        </w:rPr>
        <w:t xml:space="preserve"> The university controls the students who use the student accommodation by having the occupancy guarantee and contracting directly with the students who will use the asset.</w:t>
      </w:r>
    </w:p>
    <w:p w:rsidR="00C35071" w:rsidRPr="005F278F" w:rsidRDefault="00C35071" w:rsidP="00C35071">
      <w:pPr>
        <w:rPr>
          <w:rFonts w:ascii="Times New Roman" w:hAnsi="Times New Roman" w:cs="Times New Roman"/>
        </w:rPr>
      </w:pPr>
      <w:r w:rsidRPr="005F278F">
        <w:rPr>
          <w:rFonts w:ascii="Times New Roman" w:hAnsi="Times New Roman" w:cs="Times New Roman"/>
          <w:b/>
        </w:rPr>
        <w:t>Control of price:</w:t>
      </w:r>
      <w:r w:rsidRPr="005F278F">
        <w:rPr>
          <w:rFonts w:ascii="Times New Roman" w:hAnsi="Times New Roman" w:cs="Times New Roman"/>
        </w:rPr>
        <w:t xml:space="preserve"> The contract with the operator includes a number of conditions in relation to the rent to be set</w:t>
      </w:r>
      <w:r w:rsidR="00B43083" w:rsidRPr="005F278F">
        <w:rPr>
          <w:rFonts w:ascii="Times New Roman" w:hAnsi="Times New Roman" w:cs="Times New Roman"/>
        </w:rPr>
        <w:t>.</w:t>
      </w:r>
    </w:p>
    <w:p w:rsidR="00C35071" w:rsidRPr="005F278F" w:rsidRDefault="00C35071" w:rsidP="00A02D9F">
      <w:pPr>
        <w:rPr>
          <w:rFonts w:ascii="Times New Roman" w:hAnsi="Times New Roman" w:cs="Times New Roman"/>
        </w:rPr>
      </w:pPr>
      <w:r w:rsidRPr="005F278F">
        <w:rPr>
          <w:rFonts w:ascii="Times New Roman" w:hAnsi="Times New Roman" w:cs="Times New Roman"/>
        </w:rPr>
        <w:t>The presence of the contractual agreement over the service specification and price mechanism  and the fact that the University has full control over the students that occupy the accommodation means that the University does control the services the operator must provide and at what price.</w:t>
      </w:r>
    </w:p>
    <w:p w:rsidR="00A02D9F" w:rsidRPr="005F278F" w:rsidRDefault="00A02D9F" w:rsidP="00A02D9F">
      <w:pPr>
        <w:rPr>
          <w:rFonts w:ascii="Times New Roman" w:hAnsi="Times New Roman" w:cs="Times New Roman"/>
          <w:b/>
          <w:color w:val="231F20"/>
        </w:rPr>
      </w:pPr>
      <w:r w:rsidRPr="005F278F">
        <w:rPr>
          <w:rFonts w:ascii="Times New Roman" w:hAnsi="Times New Roman" w:cs="Times New Roman"/>
          <w:b/>
          <w:color w:val="231F20"/>
        </w:rPr>
        <w:t>b) Does the grantor control, through ownership, beneficial entitlement or otherwise, any significant residual interest in the assets at the end of the term of the arrangement?</w:t>
      </w:r>
    </w:p>
    <w:p w:rsidR="00C35071" w:rsidRPr="005F278F" w:rsidRDefault="00CE678C" w:rsidP="00A02D9F">
      <w:pPr>
        <w:rPr>
          <w:rFonts w:ascii="Times New Roman" w:hAnsi="Times New Roman" w:cs="Times New Roman"/>
          <w:b/>
        </w:rPr>
      </w:pPr>
      <w:r w:rsidRPr="005F278F">
        <w:rPr>
          <w:rFonts w:ascii="Times New Roman" w:hAnsi="Times New Roman" w:cs="Times New Roman"/>
          <w:b/>
        </w:rPr>
        <w:t xml:space="preserve">No </w:t>
      </w:r>
    </w:p>
    <w:p w:rsidR="00A02D9F" w:rsidRPr="005F278F" w:rsidRDefault="00C35071" w:rsidP="00A02D9F">
      <w:pPr>
        <w:rPr>
          <w:rFonts w:ascii="Times New Roman" w:hAnsi="Times New Roman" w:cs="Times New Roman"/>
        </w:rPr>
      </w:pPr>
      <w:r w:rsidRPr="005F278F">
        <w:rPr>
          <w:rFonts w:ascii="Times New Roman" w:hAnsi="Times New Roman" w:cs="Times New Roman"/>
        </w:rPr>
        <w:t>T</w:t>
      </w:r>
      <w:r w:rsidR="00A02D9F" w:rsidRPr="005F278F">
        <w:rPr>
          <w:rFonts w:ascii="Times New Roman" w:hAnsi="Times New Roman" w:cs="Times New Roman"/>
        </w:rPr>
        <w:t xml:space="preserve">he </w:t>
      </w:r>
      <w:r w:rsidR="00B43083" w:rsidRPr="005F278F">
        <w:rPr>
          <w:rFonts w:ascii="Times New Roman" w:hAnsi="Times New Roman" w:cs="Times New Roman"/>
        </w:rPr>
        <w:t>h</w:t>
      </w:r>
      <w:r w:rsidR="00A02D9F" w:rsidRPr="005F278F">
        <w:rPr>
          <w:rFonts w:ascii="Times New Roman" w:hAnsi="Times New Roman" w:cs="Times New Roman"/>
        </w:rPr>
        <w:t>eadlease is for 125 years and the guarantee length is only 25 years, which is not a significant proportion of the asset</w:t>
      </w:r>
      <w:r w:rsidR="00C00241" w:rsidRPr="005F278F">
        <w:rPr>
          <w:rFonts w:ascii="Times New Roman" w:hAnsi="Times New Roman" w:cs="Times New Roman"/>
        </w:rPr>
        <w:t>’</w:t>
      </w:r>
      <w:r w:rsidR="00A02D9F" w:rsidRPr="005F278F">
        <w:rPr>
          <w:rFonts w:ascii="Times New Roman" w:hAnsi="Times New Roman" w:cs="Times New Roman"/>
        </w:rPr>
        <w:t>s useful life. There is considerable value remaining in the asset once the guarantee period ends which the University has no controlling interest in.</w:t>
      </w:r>
      <w:r w:rsidR="00C958EF" w:rsidRPr="005F278F">
        <w:rPr>
          <w:rFonts w:ascii="Times New Roman" w:hAnsi="Times New Roman" w:cs="Times New Roman"/>
        </w:rPr>
        <w:t xml:space="preserve"> Therefore this arrangement is not a service concession arrangement. The guarantee of 25 years should be assessed in accordance with the leasing standard to understand whether this is a finance o</w:t>
      </w:r>
      <w:r w:rsidR="00B43083" w:rsidRPr="005F278F">
        <w:rPr>
          <w:rFonts w:ascii="Times New Roman" w:hAnsi="Times New Roman" w:cs="Times New Roman"/>
        </w:rPr>
        <w:t>r</w:t>
      </w:r>
      <w:r w:rsidR="00C958EF" w:rsidRPr="005F278F">
        <w:rPr>
          <w:rFonts w:ascii="Times New Roman" w:hAnsi="Times New Roman" w:cs="Times New Roman"/>
        </w:rPr>
        <w:t xml:space="preserve"> operating lease. We understand that in this example the arrangement has been assessed as an operating lease.</w:t>
      </w:r>
    </w:p>
    <w:p w:rsidR="00C958EF" w:rsidRPr="005F278F" w:rsidRDefault="00C958EF" w:rsidP="00A02D9F">
      <w:pPr>
        <w:rPr>
          <w:rFonts w:ascii="Times New Roman" w:hAnsi="Times New Roman" w:cs="Times New Roman"/>
        </w:rPr>
      </w:pPr>
      <w:r w:rsidRPr="005F278F">
        <w:rPr>
          <w:rFonts w:ascii="Times New Roman" w:hAnsi="Times New Roman" w:cs="Times New Roman"/>
        </w:rPr>
        <w:t>The University’s interest in the joint venture should be equity account</w:t>
      </w:r>
      <w:r w:rsidR="00B43083" w:rsidRPr="005F278F">
        <w:rPr>
          <w:rFonts w:ascii="Times New Roman" w:hAnsi="Times New Roman" w:cs="Times New Roman"/>
        </w:rPr>
        <w:t>ed</w:t>
      </w:r>
      <w:r w:rsidRPr="005F278F">
        <w:rPr>
          <w:rFonts w:ascii="Times New Roman" w:hAnsi="Times New Roman" w:cs="Times New Roman"/>
        </w:rPr>
        <w:t xml:space="preserve"> for within the consolidated financial statements. This will result in the University’s share of net assets and operating </w:t>
      </w:r>
      <w:r w:rsidR="00B43083" w:rsidRPr="005F278F">
        <w:rPr>
          <w:rFonts w:ascii="Times New Roman" w:hAnsi="Times New Roman" w:cs="Times New Roman"/>
        </w:rPr>
        <w:t>lease</w:t>
      </w:r>
      <w:r w:rsidRPr="005F278F">
        <w:rPr>
          <w:rFonts w:ascii="Times New Roman" w:hAnsi="Times New Roman" w:cs="Times New Roman"/>
        </w:rPr>
        <w:t xml:space="preserve"> into the statement of financial position and statement of income and expenditure respectively. </w:t>
      </w:r>
    </w:p>
    <w:p w:rsidR="00A02D9F" w:rsidRPr="0076555B" w:rsidRDefault="00AE3BF7" w:rsidP="00AE3BF7">
      <w:pPr>
        <w:rPr>
          <w:rFonts w:ascii="Times New Roman" w:hAnsi="Times New Roman" w:cs="Times New Roman"/>
          <w:color w:val="002060"/>
        </w:rPr>
      </w:pPr>
      <w:r w:rsidRPr="0076555B">
        <w:rPr>
          <w:rFonts w:ascii="Times New Roman" w:hAnsi="Times New Roman" w:cs="Times New Roman"/>
          <w:b/>
          <w:color w:val="002060"/>
        </w:rPr>
        <w:t xml:space="preserve">Accounting for the scheme - </w:t>
      </w:r>
      <w:r w:rsidR="00A02D9F" w:rsidRPr="0076555B">
        <w:rPr>
          <w:rFonts w:ascii="Times New Roman" w:hAnsi="Times New Roman" w:cs="Times New Roman"/>
          <w:b/>
          <w:color w:val="002060"/>
        </w:rPr>
        <w:t>Has the institution guaranteed a minimum payment to the operator?</w:t>
      </w:r>
    </w:p>
    <w:p w:rsidR="00A02D9F" w:rsidRPr="005F278F" w:rsidRDefault="00A02D9F" w:rsidP="00A02D9F">
      <w:pPr>
        <w:rPr>
          <w:rFonts w:ascii="Times New Roman" w:hAnsi="Times New Roman" w:cs="Times New Roman"/>
        </w:rPr>
      </w:pPr>
      <w:r w:rsidRPr="00470F2E">
        <w:rPr>
          <w:rFonts w:ascii="Times New Roman" w:hAnsi="Times New Roman" w:cs="Times New Roman"/>
          <w:b/>
        </w:rPr>
        <w:t xml:space="preserve">Yes </w:t>
      </w:r>
      <w:r w:rsidRPr="005F278F">
        <w:rPr>
          <w:rFonts w:ascii="Times New Roman" w:hAnsi="Times New Roman" w:cs="Times New Roman"/>
        </w:rPr>
        <w:t xml:space="preserve">– there is </w:t>
      </w:r>
      <w:r w:rsidR="00B43083" w:rsidRPr="005F278F">
        <w:rPr>
          <w:rFonts w:ascii="Times New Roman" w:hAnsi="Times New Roman" w:cs="Times New Roman"/>
        </w:rPr>
        <w:t xml:space="preserve">a </w:t>
      </w:r>
      <w:r w:rsidRPr="005F278F">
        <w:rPr>
          <w:rFonts w:ascii="Times New Roman" w:hAnsi="Times New Roman" w:cs="Times New Roman"/>
        </w:rPr>
        <w:t>guaranteed level of occupancy with a guaranteed share of net income.</w:t>
      </w:r>
    </w:p>
    <w:p w:rsidR="00C35071" w:rsidRPr="005F278F" w:rsidRDefault="00C35071" w:rsidP="00C35071">
      <w:pPr>
        <w:rPr>
          <w:rFonts w:ascii="Times New Roman" w:hAnsi="Times New Roman" w:cs="Times New Roman"/>
          <w:b/>
          <w:i/>
        </w:rPr>
      </w:pPr>
      <w:r w:rsidRPr="005F278F">
        <w:rPr>
          <w:rFonts w:ascii="Times New Roman" w:hAnsi="Times New Roman" w:cs="Times New Roman"/>
          <w:b/>
          <w:i/>
        </w:rPr>
        <w:t>Summary</w:t>
      </w:r>
    </w:p>
    <w:p w:rsidR="00A02D9F" w:rsidRPr="00AE3BF7" w:rsidRDefault="00C35071" w:rsidP="00A02D9F">
      <w:pPr>
        <w:rPr>
          <w:rFonts w:ascii="Times New Roman" w:hAnsi="Times New Roman" w:cs="Times New Roman"/>
          <w:b/>
          <w:i/>
        </w:rPr>
      </w:pPr>
      <w:r w:rsidRPr="005F278F">
        <w:rPr>
          <w:rFonts w:ascii="Times New Roman" w:hAnsi="Times New Roman" w:cs="Times New Roman"/>
          <w:b/>
          <w:i/>
        </w:rPr>
        <w:t xml:space="preserve">An arrangement has to pass all the tests set out above to be a service concession arrangement. The above example fails test 3b on the control of the residual interest and therefore this arrangement is not within the scope of service concession arrangements. </w:t>
      </w:r>
    </w:p>
    <w:p w:rsidR="00A02D9F" w:rsidRPr="005F278F" w:rsidRDefault="00A02D9F" w:rsidP="00A02D9F">
      <w:pPr>
        <w:rPr>
          <w:rFonts w:ascii="Times New Roman" w:hAnsi="Times New Roman" w:cs="Times New Roman"/>
          <w:b/>
        </w:rPr>
      </w:pPr>
      <w:r w:rsidRPr="005F278F">
        <w:rPr>
          <w:rFonts w:ascii="Times New Roman" w:hAnsi="Times New Roman" w:cs="Times New Roman"/>
          <w:b/>
        </w:rPr>
        <w:t>Accounting treatment under 2007 SORP</w:t>
      </w:r>
    </w:p>
    <w:p w:rsidR="00A02D9F" w:rsidRDefault="00C35071" w:rsidP="00AE3BF7">
      <w:pPr>
        <w:rPr>
          <w:rFonts w:ascii="Times New Roman" w:hAnsi="Times New Roman" w:cs="Times New Roman"/>
        </w:rPr>
      </w:pPr>
      <w:r w:rsidRPr="005F278F">
        <w:rPr>
          <w:rFonts w:ascii="Times New Roman" w:hAnsi="Times New Roman" w:cs="Times New Roman"/>
        </w:rPr>
        <w:t>“Off Balance Sheet” Analysis under FRS5 application note 5, a risk and rewards based standard resulted in the scheme being off balance sheet as the balance of the risks and rewards were deemed to reside with the operator. This means that amounts due to the operator are treated as an expense in the year in which they are incurred.</w:t>
      </w:r>
    </w:p>
    <w:p w:rsidR="008E266D" w:rsidRPr="005F278F" w:rsidRDefault="008E266D" w:rsidP="00AE3BF7">
      <w:pPr>
        <w:rPr>
          <w:rFonts w:ascii="Times New Roman" w:hAnsi="Times New Roman" w:cs="Times New Roman"/>
        </w:rPr>
      </w:pPr>
      <w:r w:rsidRPr="007B0BD2">
        <w:rPr>
          <w:rFonts w:ascii="Times New Roman" w:hAnsi="Times New Roman" w:cs="Times New Roman"/>
        </w:rPr>
        <w:t>The Jointly Controlled Entity would be consolidated using the</w:t>
      </w:r>
      <w:r>
        <w:rPr>
          <w:rFonts w:ascii="Times New Roman" w:hAnsi="Times New Roman" w:cs="Times New Roman"/>
        </w:rPr>
        <w:t xml:space="preserve"> gross</w:t>
      </w:r>
      <w:r w:rsidRPr="007B0BD2">
        <w:rPr>
          <w:rFonts w:ascii="Times New Roman" w:hAnsi="Times New Roman" w:cs="Times New Roman"/>
        </w:rPr>
        <w:t xml:space="preserve"> equity method</w:t>
      </w:r>
      <w:r>
        <w:rPr>
          <w:rFonts w:ascii="Times New Roman" w:hAnsi="Times New Roman" w:cs="Times New Roman"/>
        </w:rPr>
        <w:t xml:space="preserve"> under which the turnover and share of results and share of net assets are included within the consolidated Statement of Comprehensive Income and Balance sheet respectively.</w:t>
      </w:r>
    </w:p>
    <w:p w:rsidR="008E266D" w:rsidRDefault="008E266D" w:rsidP="00A02D9F">
      <w:pPr>
        <w:rPr>
          <w:rFonts w:ascii="Times New Roman" w:hAnsi="Times New Roman" w:cs="Times New Roman"/>
          <w:b/>
        </w:rPr>
      </w:pPr>
    </w:p>
    <w:p w:rsidR="008E266D" w:rsidRDefault="008E266D" w:rsidP="00A02D9F">
      <w:pPr>
        <w:rPr>
          <w:rFonts w:ascii="Times New Roman" w:hAnsi="Times New Roman" w:cs="Times New Roman"/>
          <w:b/>
        </w:rPr>
      </w:pPr>
    </w:p>
    <w:p w:rsidR="00A02D9F" w:rsidRPr="005F278F" w:rsidRDefault="00A02D9F" w:rsidP="00A02D9F">
      <w:pPr>
        <w:rPr>
          <w:rFonts w:ascii="Times New Roman" w:hAnsi="Times New Roman" w:cs="Times New Roman"/>
          <w:b/>
        </w:rPr>
      </w:pPr>
      <w:r w:rsidRPr="005F278F">
        <w:rPr>
          <w:rFonts w:ascii="Times New Roman" w:hAnsi="Times New Roman" w:cs="Times New Roman"/>
          <w:b/>
        </w:rPr>
        <w:lastRenderedPageBreak/>
        <w:t>Accounting treatment under FRS102</w:t>
      </w:r>
    </w:p>
    <w:p w:rsidR="007B0BD2" w:rsidRDefault="00C35071" w:rsidP="00C413F6">
      <w:pPr>
        <w:rPr>
          <w:rFonts w:ascii="Times New Roman" w:hAnsi="Times New Roman" w:cs="Times New Roman"/>
          <w:b/>
        </w:rPr>
      </w:pPr>
      <w:r w:rsidRPr="005F278F">
        <w:rPr>
          <w:rFonts w:ascii="Times New Roman" w:hAnsi="Times New Roman" w:cs="Times New Roman"/>
        </w:rPr>
        <w:t xml:space="preserve">This arrangement is not a service concession arrangement. </w:t>
      </w:r>
      <w:r w:rsidR="003C0C8F" w:rsidRPr="005F278F">
        <w:rPr>
          <w:rFonts w:ascii="Times New Roman" w:hAnsi="Times New Roman" w:cs="Times New Roman"/>
        </w:rPr>
        <w:t xml:space="preserve"> It is likely that the occupancy guarantee is a lease or an embedded lease which should be considered on a risk and rewards basis </w:t>
      </w:r>
      <w:r w:rsidRPr="005F278F">
        <w:rPr>
          <w:rFonts w:ascii="Times New Roman" w:hAnsi="Times New Roman" w:cs="Times New Roman"/>
        </w:rPr>
        <w:t xml:space="preserve">in line with the lease accounting requirements. </w:t>
      </w:r>
      <w:r w:rsidR="003C0C8F" w:rsidRPr="005F278F">
        <w:rPr>
          <w:rFonts w:ascii="Times New Roman" w:hAnsi="Times New Roman" w:cs="Times New Roman"/>
        </w:rPr>
        <w:t xml:space="preserve"> </w:t>
      </w:r>
      <w:r w:rsidRPr="005F278F">
        <w:rPr>
          <w:rFonts w:ascii="Times New Roman" w:hAnsi="Times New Roman" w:cs="Times New Roman"/>
        </w:rPr>
        <w:t xml:space="preserve">It is anticipated that this will result in the same treatment as that currently adopted under the current UK GAAP risks and rewards based standards. </w:t>
      </w:r>
    </w:p>
    <w:p w:rsidR="001E6E8A" w:rsidRPr="0076555B" w:rsidRDefault="007B0BD2" w:rsidP="00C413F6">
      <w:pPr>
        <w:rPr>
          <w:rFonts w:ascii="Times New Roman" w:hAnsi="Times New Roman" w:cs="Times New Roman"/>
          <w:b/>
          <w:color w:val="002060"/>
          <w:sz w:val="28"/>
          <w:szCs w:val="28"/>
        </w:rPr>
      </w:pPr>
      <w:r w:rsidRPr="007B0BD2">
        <w:rPr>
          <w:rFonts w:ascii="Times New Roman" w:hAnsi="Times New Roman" w:cs="Times New Roman"/>
        </w:rPr>
        <w:t>The Jointly Controlled Entity would be consolidated using the equity method</w:t>
      </w:r>
      <w:r>
        <w:rPr>
          <w:rFonts w:ascii="Times New Roman" w:hAnsi="Times New Roman" w:cs="Times New Roman"/>
        </w:rPr>
        <w:t xml:space="preserve"> under which the share of results and share of net assets are included within the consolidated Statement of Comprehensive Income and Balance sheet respectively. </w:t>
      </w:r>
      <w:r w:rsidR="00AE3BF7">
        <w:rPr>
          <w:rFonts w:ascii="Times New Roman" w:hAnsi="Times New Roman" w:cs="Times New Roman"/>
          <w:b/>
        </w:rPr>
        <w:br w:type="page"/>
      </w:r>
      <w:r w:rsidR="001E6E8A" w:rsidRPr="0076555B">
        <w:rPr>
          <w:rFonts w:ascii="Times New Roman" w:hAnsi="Times New Roman" w:cs="Times New Roman"/>
          <w:b/>
          <w:color w:val="002060"/>
          <w:sz w:val="28"/>
          <w:szCs w:val="28"/>
        </w:rPr>
        <w:lastRenderedPageBreak/>
        <w:t>Case Study 4 – Residency arrangement with nominations right, but no occupancy guarantee</w:t>
      </w:r>
    </w:p>
    <w:p w:rsidR="001E6E8A" w:rsidRPr="005F278F" w:rsidRDefault="001E6E8A" w:rsidP="00C413F6">
      <w:pPr>
        <w:rPr>
          <w:rFonts w:ascii="Times New Roman" w:hAnsi="Times New Roman" w:cs="Times New Roman"/>
          <w:b/>
        </w:rPr>
      </w:pPr>
      <w:r w:rsidRPr="005F278F">
        <w:rPr>
          <w:rFonts w:ascii="Times New Roman" w:hAnsi="Times New Roman" w:cs="Times New Roman"/>
          <w:b/>
        </w:rPr>
        <w:t>Background</w:t>
      </w:r>
    </w:p>
    <w:p w:rsidR="001E6E8A" w:rsidRPr="00E90C0D" w:rsidRDefault="003F1E41" w:rsidP="00E90C0D">
      <w:pPr>
        <w:pStyle w:val="ListParagraph"/>
        <w:numPr>
          <w:ilvl w:val="0"/>
          <w:numId w:val="48"/>
        </w:numPr>
        <w:rPr>
          <w:rFonts w:ascii="Times New Roman" w:hAnsi="Times New Roman" w:cs="Times New Roman"/>
        </w:rPr>
      </w:pPr>
      <w:r w:rsidRPr="00E90C0D">
        <w:rPr>
          <w:rFonts w:ascii="Times New Roman" w:hAnsi="Times New Roman" w:cs="Times New Roman"/>
        </w:rPr>
        <w:t xml:space="preserve">This arrangement involved the transfer of existing accommodation to the </w:t>
      </w:r>
      <w:r w:rsidR="003C293A" w:rsidRPr="00E90C0D">
        <w:rPr>
          <w:rFonts w:ascii="Times New Roman" w:hAnsi="Times New Roman" w:cs="Times New Roman"/>
        </w:rPr>
        <w:t>SPV</w:t>
      </w:r>
      <w:r w:rsidRPr="00E90C0D">
        <w:rPr>
          <w:rFonts w:ascii="Times New Roman" w:hAnsi="Times New Roman" w:cs="Times New Roman"/>
        </w:rPr>
        <w:t xml:space="preserve"> and the building of new accommodation by the </w:t>
      </w:r>
      <w:r w:rsidR="003C293A" w:rsidRPr="00E90C0D">
        <w:rPr>
          <w:rFonts w:ascii="Times New Roman" w:hAnsi="Times New Roman" w:cs="Times New Roman"/>
        </w:rPr>
        <w:t>SPV</w:t>
      </w:r>
      <w:r w:rsidRPr="00E90C0D">
        <w:rPr>
          <w:rFonts w:ascii="Times New Roman" w:hAnsi="Times New Roman" w:cs="Times New Roman"/>
        </w:rPr>
        <w:t>.</w:t>
      </w:r>
    </w:p>
    <w:p w:rsidR="003F1E41" w:rsidRPr="00E90C0D" w:rsidRDefault="003F1E41" w:rsidP="00E90C0D">
      <w:pPr>
        <w:pStyle w:val="ListParagraph"/>
        <w:numPr>
          <w:ilvl w:val="0"/>
          <w:numId w:val="48"/>
        </w:numPr>
        <w:rPr>
          <w:rFonts w:ascii="Times New Roman" w:hAnsi="Times New Roman" w:cs="Times New Roman"/>
        </w:rPr>
      </w:pPr>
      <w:r w:rsidRPr="00E90C0D">
        <w:rPr>
          <w:rFonts w:ascii="Times New Roman" w:hAnsi="Times New Roman" w:cs="Times New Roman"/>
        </w:rPr>
        <w:t>All services are provided by the operator with the exception of room booking.</w:t>
      </w:r>
    </w:p>
    <w:p w:rsidR="00823A33" w:rsidRPr="00E90C0D" w:rsidRDefault="00823A33" w:rsidP="00E90C0D">
      <w:pPr>
        <w:pStyle w:val="ListParagraph"/>
        <w:numPr>
          <w:ilvl w:val="0"/>
          <w:numId w:val="48"/>
        </w:numPr>
        <w:rPr>
          <w:rFonts w:ascii="Times New Roman" w:hAnsi="Times New Roman" w:cs="Times New Roman"/>
        </w:rPr>
      </w:pPr>
      <w:r w:rsidRPr="00E90C0D">
        <w:rPr>
          <w:rFonts w:ascii="Times New Roman" w:hAnsi="Times New Roman" w:cs="Times New Roman"/>
        </w:rPr>
        <w:t xml:space="preserve">The </w:t>
      </w:r>
      <w:r w:rsidR="00B43083" w:rsidRPr="00E90C0D">
        <w:rPr>
          <w:rFonts w:ascii="Times New Roman" w:hAnsi="Times New Roman" w:cs="Times New Roman"/>
        </w:rPr>
        <w:t>U</w:t>
      </w:r>
      <w:r w:rsidRPr="00E90C0D">
        <w:rPr>
          <w:rFonts w:ascii="Times New Roman" w:hAnsi="Times New Roman" w:cs="Times New Roman"/>
        </w:rPr>
        <w:t xml:space="preserve">niversity collects rental income from the students and has the debt and void risk on these rent receipts. The University receives a management fee of 3% for managing the residency arrangements. </w:t>
      </w:r>
    </w:p>
    <w:p w:rsidR="0056602F" w:rsidRPr="00E90C0D" w:rsidRDefault="0056602F" w:rsidP="00E90C0D">
      <w:pPr>
        <w:pStyle w:val="ListParagraph"/>
        <w:numPr>
          <w:ilvl w:val="0"/>
          <w:numId w:val="48"/>
        </w:numPr>
        <w:rPr>
          <w:rFonts w:ascii="Times New Roman" w:hAnsi="Times New Roman" w:cs="Times New Roman"/>
        </w:rPr>
      </w:pPr>
      <w:r w:rsidRPr="00E90C0D">
        <w:rPr>
          <w:rFonts w:ascii="Times New Roman" w:hAnsi="Times New Roman" w:cs="Times New Roman"/>
        </w:rPr>
        <w:t xml:space="preserve">The University </w:t>
      </w:r>
      <w:r w:rsidR="00823A33" w:rsidRPr="00E90C0D">
        <w:rPr>
          <w:rFonts w:ascii="Times New Roman" w:hAnsi="Times New Roman" w:cs="Times New Roman"/>
        </w:rPr>
        <w:t>has t</w:t>
      </w:r>
      <w:r w:rsidRPr="00E90C0D">
        <w:rPr>
          <w:rFonts w:ascii="Times New Roman" w:hAnsi="Times New Roman" w:cs="Times New Roman"/>
        </w:rPr>
        <w:t>he right to nominate occupancy</w:t>
      </w:r>
      <w:r w:rsidR="00823A33" w:rsidRPr="00E90C0D">
        <w:rPr>
          <w:rFonts w:ascii="Times New Roman" w:hAnsi="Times New Roman" w:cs="Times New Roman"/>
        </w:rPr>
        <w:t xml:space="preserve"> in a single year,</w:t>
      </w:r>
      <w:r w:rsidRPr="00E90C0D">
        <w:rPr>
          <w:rFonts w:ascii="Times New Roman" w:hAnsi="Times New Roman" w:cs="Times New Roman"/>
        </w:rPr>
        <w:t xml:space="preserve"> but do not guarantee occupation.</w:t>
      </w:r>
    </w:p>
    <w:p w:rsidR="00EE1786" w:rsidRPr="00E90C0D" w:rsidRDefault="0056602F" w:rsidP="00E90C0D">
      <w:pPr>
        <w:pStyle w:val="ListParagraph"/>
        <w:numPr>
          <w:ilvl w:val="0"/>
          <w:numId w:val="48"/>
        </w:numPr>
        <w:rPr>
          <w:rFonts w:ascii="Times New Roman" w:hAnsi="Times New Roman" w:cs="Times New Roman"/>
        </w:rPr>
      </w:pPr>
      <w:r w:rsidRPr="00E90C0D">
        <w:rPr>
          <w:rFonts w:ascii="Times New Roman" w:hAnsi="Times New Roman" w:cs="Times New Roman"/>
        </w:rPr>
        <w:t xml:space="preserve">The </w:t>
      </w:r>
      <w:r w:rsidR="00A642DF" w:rsidRPr="00E90C0D">
        <w:rPr>
          <w:rFonts w:ascii="Times New Roman" w:hAnsi="Times New Roman" w:cs="Times New Roman"/>
        </w:rPr>
        <w:t>head</w:t>
      </w:r>
      <w:r w:rsidRPr="00E90C0D">
        <w:rPr>
          <w:rFonts w:ascii="Times New Roman" w:hAnsi="Times New Roman" w:cs="Times New Roman"/>
        </w:rPr>
        <w:t>lease and underlease run for a concession period of 40 years. At the end of the term the asset t</w:t>
      </w:r>
      <w:r w:rsidR="00A642DF" w:rsidRPr="00E90C0D">
        <w:rPr>
          <w:rFonts w:ascii="Times New Roman" w:hAnsi="Times New Roman" w:cs="Times New Roman"/>
        </w:rPr>
        <w:t xml:space="preserve">ransfers to the University at </w:t>
      </w:r>
      <w:r w:rsidRPr="00E90C0D">
        <w:rPr>
          <w:rFonts w:ascii="Times New Roman" w:hAnsi="Times New Roman" w:cs="Times New Roman"/>
        </w:rPr>
        <w:t>nil residual value</w:t>
      </w:r>
      <w:r w:rsidR="00A642DF" w:rsidRPr="00E90C0D">
        <w:rPr>
          <w:rFonts w:ascii="Times New Roman" w:hAnsi="Times New Roman" w:cs="Times New Roman"/>
        </w:rPr>
        <w:t xml:space="preserve"> being the end of the asset life</w:t>
      </w:r>
      <w:r w:rsidR="00EE1786" w:rsidRPr="00E90C0D">
        <w:rPr>
          <w:rFonts w:ascii="Times New Roman" w:hAnsi="Times New Roman" w:cs="Times New Roman"/>
        </w:rPr>
        <w:t>.</w:t>
      </w:r>
    </w:p>
    <w:p w:rsidR="00EE1786" w:rsidRPr="0076555B" w:rsidRDefault="00EE1786" w:rsidP="00EE1786">
      <w:pPr>
        <w:rPr>
          <w:rFonts w:ascii="Times New Roman" w:hAnsi="Times New Roman" w:cs="Times New Roman"/>
          <w:color w:val="002060"/>
        </w:rPr>
      </w:pPr>
      <w:r w:rsidRPr="0076555B">
        <w:rPr>
          <w:rFonts w:ascii="Times New Roman" w:hAnsi="Times New Roman" w:cs="Times New Roman"/>
          <w:b/>
          <w:color w:val="002060"/>
        </w:rPr>
        <w:t>Application of SORP and FRS 102 service concession arrangements</w:t>
      </w:r>
    </w:p>
    <w:p w:rsidR="0056602F" w:rsidRPr="005F278F" w:rsidRDefault="0056602F" w:rsidP="0056602F">
      <w:pPr>
        <w:rPr>
          <w:rFonts w:ascii="Times New Roman" w:hAnsi="Times New Roman" w:cs="Times New Roman"/>
          <w:b/>
        </w:rPr>
      </w:pPr>
      <w:r w:rsidRPr="005F278F">
        <w:rPr>
          <w:rFonts w:ascii="Times New Roman" w:hAnsi="Times New Roman" w:cs="Times New Roman"/>
          <w:b/>
        </w:rPr>
        <w:t>1)  Does the institution acts as principal in the arrangement?</w:t>
      </w:r>
    </w:p>
    <w:p w:rsidR="00C35071" w:rsidRPr="005F278F" w:rsidRDefault="00CE678C" w:rsidP="0056602F">
      <w:pPr>
        <w:rPr>
          <w:rFonts w:ascii="Times New Roman" w:hAnsi="Times New Roman" w:cs="Times New Roman"/>
          <w:b/>
        </w:rPr>
      </w:pPr>
      <w:r w:rsidRPr="005F278F">
        <w:rPr>
          <w:rFonts w:ascii="Times New Roman" w:hAnsi="Times New Roman" w:cs="Times New Roman"/>
          <w:b/>
        </w:rPr>
        <w:t xml:space="preserve">Yes. </w:t>
      </w:r>
    </w:p>
    <w:p w:rsidR="0056602F" w:rsidRPr="005F278F" w:rsidRDefault="00B43083" w:rsidP="0056602F">
      <w:pPr>
        <w:rPr>
          <w:rFonts w:ascii="Times New Roman" w:hAnsi="Times New Roman" w:cs="Times New Roman"/>
        </w:rPr>
      </w:pPr>
      <w:r w:rsidRPr="005F278F">
        <w:rPr>
          <w:rFonts w:ascii="Times New Roman" w:hAnsi="Times New Roman" w:cs="Times New Roman"/>
        </w:rPr>
        <w:t xml:space="preserve">The </w:t>
      </w:r>
      <w:r w:rsidR="0056602F" w:rsidRPr="005F278F">
        <w:rPr>
          <w:rFonts w:ascii="Times New Roman" w:hAnsi="Times New Roman" w:cs="Times New Roman"/>
        </w:rPr>
        <w:t>University has contracted with the private sector SPV.</w:t>
      </w:r>
      <w:r w:rsidR="00F13684" w:rsidRPr="005F278F">
        <w:rPr>
          <w:rFonts w:ascii="Times New Roman" w:hAnsi="Times New Roman" w:cs="Times New Roman"/>
        </w:rPr>
        <w:t xml:space="preserve"> The University takes the credit and void risk with the student lettings and therefore acts as principal in the arrangement with the students.</w:t>
      </w:r>
    </w:p>
    <w:p w:rsidR="0056602F" w:rsidRPr="005F278F" w:rsidRDefault="0056602F" w:rsidP="0056602F">
      <w:pPr>
        <w:rPr>
          <w:rFonts w:ascii="Times New Roman" w:hAnsi="Times New Roman" w:cs="Times New Roman"/>
          <w:b/>
        </w:rPr>
      </w:pPr>
      <w:r w:rsidRPr="005F278F">
        <w:rPr>
          <w:rFonts w:ascii="Times New Roman" w:hAnsi="Times New Roman" w:cs="Times New Roman"/>
          <w:b/>
        </w:rPr>
        <w:t>2) Does the arrangement meet the definition of a service concession?</w:t>
      </w:r>
    </w:p>
    <w:p w:rsidR="00C35071" w:rsidRPr="005F278F" w:rsidRDefault="00CE678C" w:rsidP="0056602F">
      <w:pPr>
        <w:rPr>
          <w:rFonts w:ascii="Times New Roman" w:hAnsi="Times New Roman" w:cs="Times New Roman"/>
          <w:b/>
        </w:rPr>
      </w:pPr>
      <w:r w:rsidRPr="005F278F">
        <w:rPr>
          <w:rFonts w:ascii="Times New Roman" w:hAnsi="Times New Roman" w:cs="Times New Roman"/>
          <w:b/>
        </w:rPr>
        <w:t xml:space="preserve">Yes. </w:t>
      </w:r>
    </w:p>
    <w:p w:rsidR="0056602F" w:rsidRPr="005F278F" w:rsidRDefault="0056602F" w:rsidP="0056602F">
      <w:pPr>
        <w:rPr>
          <w:rFonts w:ascii="Times New Roman" w:hAnsi="Times New Roman" w:cs="Times New Roman"/>
        </w:rPr>
      </w:pPr>
      <w:r w:rsidRPr="005F278F">
        <w:rPr>
          <w:rFonts w:ascii="Times New Roman" w:hAnsi="Times New Roman" w:cs="Times New Roman"/>
        </w:rPr>
        <w:t>The University (grantor) has contracted with the private sector (operator) to construct, operate and maintain infrastructure assets (student accommodation) for a specified period of time (40 years). The operator is paid for their services. The operator is contractually obliged to provide services to the public on behalf of the University</w:t>
      </w:r>
    </w:p>
    <w:p w:rsidR="0056602F" w:rsidRPr="005F278F" w:rsidRDefault="0056602F" w:rsidP="0056602F">
      <w:pPr>
        <w:rPr>
          <w:rFonts w:ascii="Times New Roman" w:hAnsi="Times New Roman" w:cs="Times New Roman"/>
          <w:b/>
        </w:rPr>
      </w:pPr>
      <w:r w:rsidRPr="005F278F">
        <w:rPr>
          <w:rFonts w:ascii="Times New Roman" w:hAnsi="Times New Roman" w:cs="Times New Roman"/>
          <w:b/>
        </w:rPr>
        <w:t>3) Does the arrangement pass the control test in FRS102?</w:t>
      </w:r>
    </w:p>
    <w:p w:rsidR="0056602F" w:rsidRPr="005F278F" w:rsidRDefault="0056602F" w:rsidP="0056602F">
      <w:pPr>
        <w:autoSpaceDE w:val="0"/>
        <w:autoSpaceDN w:val="0"/>
        <w:adjustRightInd w:val="0"/>
        <w:rPr>
          <w:rFonts w:ascii="Times New Roman" w:hAnsi="Times New Roman" w:cs="Times New Roman"/>
          <w:b/>
          <w:color w:val="231F20"/>
        </w:rPr>
      </w:pPr>
      <w:r w:rsidRPr="005F278F">
        <w:rPr>
          <w:rFonts w:ascii="Times New Roman" w:hAnsi="Times New Roman" w:cs="Times New Roman"/>
          <w:b/>
        </w:rPr>
        <w:t xml:space="preserve">a) Does </w:t>
      </w:r>
      <w:r w:rsidRPr="005F278F">
        <w:rPr>
          <w:rFonts w:ascii="Times New Roman" w:hAnsi="Times New Roman" w:cs="Times New Roman"/>
          <w:b/>
          <w:color w:val="231F20"/>
        </w:rPr>
        <w:t>the University control or regulate what services the operator must provide using the infrastructure assets, to whom, and at what price?</w:t>
      </w:r>
    </w:p>
    <w:p w:rsidR="00C35071" w:rsidRPr="005F278F" w:rsidRDefault="00CE678C" w:rsidP="0056602F">
      <w:pPr>
        <w:rPr>
          <w:rFonts w:ascii="Times New Roman" w:hAnsi="Times New Roman" w:cs="Times New Roman"/>
          <w:b/>
        </w:rPr>
      </w:pPr>
      <w:r w:rsidRPr="005F278F">
        <w:rPr>
          <w:rFonts w:ascii="Times New Roman" w:hAnsi="Times New Roman" w:cs="Times New Roman"/>
          <w:b/>
        </w:rPr>
        <w:t xml:space="preserve">Yes. </w:t>
      </w:r>
    </w:p>
    <w:p w:rsidR="00C35071" w:rsidRPr="005F278F" w:rsidRDefault="00C35071" w:rsidP="00C35071">
      <w:pPr>
        <w:rPr>
          <w:rFonts w:ascii="Times New Roman" w:hAnsi="Times New Roman" w:cs="Times New Roman"/>
        </w:rPr>
      </w:pPr>
      <w:r w:rsidRPr="005F278F">
        <w:rPr>
          <w:rFonts w:ascii="Times New Roman" w:hAnsi="Times New Roman" w:cs="Times New Roman"/>
          <w:b/>
        </w:rPr>
        <w:t>Control of services:</w:t>
      </w:r>
      <w:r w:rsidRPr="005F278F">
        <w:rPr>
          <w:rFonts w:ascii="Times New Roman" w:hAnsi="Times New Roman" w:cs="Times New Roman"/>
        </w:rPr>
        <w:t xml:space="preserve"> The </w:t>
      </w:r>
      <w:r w:rsidR="005F1AE8" w:rsidRPr="005F278F">
        <w:rPr>
          <w:rFonts w:ascii="Times New Roman" w:hAnsi="Times New Roman" w:cs="Times New Roman"/>
        </w:rPr>
        <w:t>U</w:t>
      </w:r>
      <w:r w:rsidRPr="005F278F">
        <w:rPr>
          <w:rFonts w:ascii="Times New Roman" w:hAnsi="Times New Roman" w:cs="Times New Roman"/>
        </w:rPr>
        <w:t>niversity requires the SPV to provide and maintain specific student accommodation assets.</w:t>
      </w:r>
    </w:p>
    <w:p w:rsidR="00C35071" w:rsidRPr="005F278F" w:rsidRDefault="00C35071" w:rsidP="00C35071">
      <w:pPr>
        <w:rPr>
          <w:rFonts w:ascii="Times New Roman" w:hAnsi="Times New Roman" w:cs="Times New Roman"/>
        </w:rPr>
      </w:pPr>
      <w:r w:rsidRPr="005F278F">
        <w:rPr>
          <w:rFonts w:ascii="Times New Roman" w:hAnsi="Times New Roman" w:cs="Times New Roman"/>
          <w:b/>
        </w:rPr>
        <w:t>Control of who uses the asset:</w:t>
      </w:r>
      <w:r w:rsidRPr="005F278F">
        <w:rPr>
          <w:rFonts w:ascii="Times New Roman" w:hAnsi="Times New Roman" w:cs="Times New Roman"/>
        </w:rPr>
        <w:t xml:space="preserve"> The </w:t>
      </w:r>
      <w:r w:rsidR="005F1AE8" w:rsidRPr="005F278F">
        <w:rPr>
          <w:rFonts w:ascii="Times New Roman" w:hAnsi="Times New Roman" w:cs="Times New Roman"/>
        </w:rPr>
        <w:t>U</w:t>
      </w:r>
      <w:r w:rsidRPr="005F278F">
        <w:rPr>
          <w:rFonts w:ascii="Times New Roman" w:hAnsi="Times New Roman" w:cs="Times New Roman"/>
        </w:rPr>
        <w:t>niversity controls the students who use the student accommodation by having the occupancy guarantee and contracting directly with the students who will use the asset.</w:t>
      </w:r>
    </w:p>
    <w:p w:rsidR="00C35071" w:rsidRPr="005F278F" w:rsidRDefault="00C35071" w:rsidP="00C35071">
      <w:pPr>
        <w:rPr>
          <w:rFonts w:ascii="Times New Roman" w:hAnsi="Times New Roman" w:cs="Times New Roman"/>
        </w:rPr>
      </w:pPr>
      <w:r w:rsidRPr="005F278F">
        <w:rPr>
          <w:rFonts w:ascii="Times New Roman" w:hAnsi="Times New Roman" w:cs="Times New Roman"/>
          <w:b/>
        </w:rPr>
        <w:t>Control of price:</w:t>
      </w:r>
      <w:r w:rsidRPr="005F278F">
        <w:rPr>
          <w:rFonts w:ascii="Times New Roman" w:hAnsi="Times New Roman" w:cs="Times New Roman"/>
        </w:rPr>
        <w:t xml:space="preserve"> The existence of the price mechanism and services requirement within </w:t>
      </w:r>
      <w:r w:rsidR="005F1AE8" w:rsidRPr="005F278F">
        <w:rPr>
          <w:rFonts w:ascii="Times New Roman" w:hAnsi="Times New Roman" w:cs="Times New Roman"/>
        </w:rPr>
        <w:t xml:space="preserve">the </w:t>
      </w:r>
      <w:r w:rsidRPr="005F278F">
        <w:rPr>
          <w:rFonts w:ascii="Times New Roman" w:hAnsi="Times New Roman" w:cs="Times New Roman"/>
        </w:rPr>
        <w:t>contractual arrangement means that this test is passed.</w:t>
      </w:r>
    </w:p>
    <w:p w:rsidR="00C35071" w:rsidRPr="005F278F" w:rsidRDefault="00C35071" w:rsidP="0056602F">
      <w:pPr>
        <w:rPr>
          <w:rFonts w:ascii="Times New Roman" w:hAnsi="Times New Roman" w:cs="Times New Roman"/>
        </w:rPr>
      </w:pPr>
      <w:r w:rsidRPr="005F278F">
        <w:rPr>
          <w:rFonts w:ascii="Times New Roman" w:hAnsi="Times New Roman" w:cs="Times New Roman"/>
        </w:rPr>
        <w:lastRenderedPageBreak/>
        <w:t>The presence of the contractual agreement over the service specification and price mechanism  and the fact that the University has full control over the students that occupy the accommodation means that the University does control the services the operator must provide and at what price.</w:t>
      </w:r>
    </w:p>
    <w:p w:rsidR="0056602F" w:rsidRPr="005F278F" w:rsidRDefault="0056602F" w:rsidP="0056602F">
      <w:pPr>
        <w:rPr>
          <w:rFonts w:ascii="Times New Roman" w:hAnsi="Times New Roman" w:cs="Times New Roman"/>
          <w:b/>
          <w:color w:val="231F20"/>
        </w:rPr>
      </w:pPr>
      <w:r w:rsidRPr="005F278F">
        <w:rPr>
          <w:rFonts w:ascii="Times New Roman" w:hAnsi="Times New Roman" w:cs="Times New Roman"/>
          <w:b/>
          <w:color w:val="231F20"/>
        </w:rPr>
        <w:t>b) Does the grantor control, through ownership, beneficial entitlement or otherwise, any significant residual interest in the assets at the end of the term of the arrangement?</w:t>
      </w:r>
    </w:p>
    <w:p w:rsidR="00C35071" w:rsidRPr="005F278F" w:rsidRDefault="00CE678C" w:rsidP="0056602F">
      <w:pPr>
        <w:rPr>
          <w:rFonts w:ascii="Times New Roman" w:hAnsi="Times New Roman" w:cs="Times New Roman"/>
        </w:rPr>
      </w:pPr>
      <w:r w:rsidRPr="005F278F">
        <w:rPr>
          <w:rFonts w:ascii="Times New Roman" w:hAnsi="Times New Roman" w:cs="Times New Roman"/>
          <w:b/>
        </w:rPr>
        <w:t xml:space="preserve">Yes </w:t>
      </w:r>
    </w:p>
    <w:p w:rsidR="0056602F" w:rsidRPr="005F278F" w:rsidRDefault="0056602F" w:rsidP="0056602F">
      <w:pPr>
        <w:rPr>
          <w:rFonts w:ascii="Times New Roman" w:hAnsi="Times New Roman" w:cs="Times New Roman"/>
        </w:rPr>
      </w:pPr>
      <w:r w:rsidRPr="005F278F">
        <w:rPr>
          <w:rFonts w:ascii="Times New Roman" w:hAnsi="Times New Roman" w:cs="Times New Roman"/>
        </w:rPr>
        <w:t xml:space="preserve">At the end of the term </w:t>
      </w:r>
      <w:r w:rsidR="005F1AE8" w:rsidRPr="005F278F">
        <w:rPr>
          <w:rFonts w:ascii="Times New Roman" w:hAnsi="Times New Roman" w:cs="Times New Roman"/>
        </w:rPr>
        <w:t>the asset</w:t>
      </w:r>
      <w:r w:rsidRPr="005F278F">
        <w:rPr>
          <w:rFonts w:ascii="Times New Roman" w:hAnsi="Times New Roman" w:cs="Times New Roman"/>
        </w:rPr>
        <w:t xml:space="preserve"> transfers to the University but at nil residual value.</w:t>
      </w:r>
    </w:p>
    <w:p w:rsidR="0056602F" w:rsidRPr="0076555B" w:rsidRDefault="00AE3BF7" w:rsidP="0056602F">
      <w:pPr>
        <w:rPr>
          <w:rFonts w:ascii="Times New Roman" w:hAnsi="Times New Roman" w:cs="Times New Roman"/>
          <w:color w:val="002060"/>
        </w:rPr>
      </w:pPr>
      <w:r w:rsidRPr="0076555B">
        <w:rPr>
          <w:rFonts w:ascii="Times New Roman" w:hAnsi="Times New Roman" w:cs="Times New Roman"/>
          <w:b/>
          <w:color w:val="002060"/>
        </w:rPr>
        <w:t xml:space="preserve">Accounting for the Scheme - </w:t>
      </w:r>
      <w:r w:rsidR="0056602F" w:rsidRPr="0076555B">
        <w:rPr>
          <w:rFonts w:ascii="Times New Roman" w:hAnsi="Times New Roman" w:cs="Times New Roman"/>
          <w:b/>
          <w:color w:val="002060"/>
        </w:rPr>
        <w:t>Has the institution guaranteed a minimum payment to the operator?</w:t>
      </w:r>
    </w:p>
    <w:p w:rsidR="00C35071" w:rsidRPr="005F278F" w:rsidRDefault="00EE39BE" w:rsidP="0056602F">
      <w:pPr>
        <w:rPr>
          <w:rFonts w:ascii="Times New Roman" w:hAnsi="Times New Roman" w:cs="Times New Roman"/>
          <w:b/>
        </w:rPr>
      </w:pPr>
      <w:r>
        <w:rPr>
          <w:rFonts w:ascii="Times New Roman" w:hAnsi="Times New Roman" w:cs="Times New Roman"/>
          <w:b/>
        </w:rPr>
        <w:t>Yes</w:t>
      </w:r>
      <w:r w:rsidR="00CE678C" w:rsidRPr="005F278F">
        <w:rPr>
          <w:rFonts w:ascii="Times New Roman" w:hAnsi="Times New Roman" w:cs="Times New Roman"/>
          <w:b/>
        </w:rPr>
        <w:t xml:space="preserve"> </w:t>
      </w:r>
    </w:p>
    <w:p w:rsidR="0056602F" w:rsidRDefault="00EE39BE" w:rsidP="0056602F">
      <w:pPr>
        <w:rPr>
          <w:rFonts w:ascii="Times New Roman" w:hAnsi="Times New Roman" w:cs="Times New Roman"/>
        </w:rPr>
      </w:pPr>
      <w:r>
        <w:rPr>
          <w:rFonts w:ascii="Times New Roman" w:hAnsi="Times New Roman" w:cs="Times New Roman"/>
        </w:rPr>
        <w:t>At the balance sheet date the institution has entered into a one year nomination agreement relating to the subsequent academic year. Therefore at the balance sheet there is a guaranteed minimum payment. As an example, if the institution had nominated to take 80% occupancy of the residence for the proceeding year which equates to rental income of £3m, the minimum guaranteed payment is £3m.</w:t>
      </w:r>
    </w:p>
    <w:p w:rsidR="00EE39BE" w:rsidRDefault="00EE39BE" w:rsidP="0056602F">
      <w:pPr>
        <w:rPr>
          <w:rFonts w:ascii="Times New Roman" w:hAnsi="Times New Roman" w:cs="Times New Roman"/>
        </w:rPr>
      </w:pPr>
      <w:r>
        <w:rPr>
          <w:rFonts w:ascii="Times New Roman" w:hAnsi="Times New Roman" w:cs="Times New Roman"/>
        </w:rPr>
        <w:t>At the date that this guarantee is entered there is an asset and liability recognised on the balance sheet</w:t>
      </w:r>
    </w:p>
    <w:p w:rsidR="00EE39BE" w:rsidRDefault="00EE39BE" w:rsidP="0056602F">
      <w:pPr>
        <w:rPr>
          <w:rFonts w:ascii="Times New Roman" w:hAnsi="Times New Roman" w:cs="Times New Roman"/>
        </w:rPr>
      </w:pPr>
      <w:r>
        <w:rPr>
          <w:rFonts w:ascii="Times New Roman" w:hAnsi="Times New Roman" w:cs="Times New Roman"/>
        </w:rPr>
        <w:t>Dr fixed assets £3m</w:t>
      </w:r>
    </w:p>
    <w:p w:rsidR="00EE39BE" w:rsidRDefault="00EE39BE" w:rsidP="00EE39BE">
      <w:pPr>
        <w:ind w:firstLine="720"/>
        <w:rPr>
          <w:rFonts w:ascii="Times New Roman" w:hAnsi="Times New Roman" w:cs="Times New Roman"/>
        </w:rPr>
      </w:pPr>
      <w:r>
        <w:rPr>
          <w:rFonts w:ascii="Times New Roman" w:hAnsi="Times New Roman" w:cs="Times New Roman"/>
        </w:rPr>
        <w:t>Cr financial liability £3m</w:t>
      </w:r>
    </w:p>
    <w:p w:rsidR="00EE39BE" w:rsidRDefault="00EE39BE" w:rsidP="00EE39BE">
      <w:pPr>
        <w:rPr>
          <w:rFonts w:ascii="Times New Roman" w:hAnsi="Times New Roman" w:cs="Times New Roman"/>
        </w:rPr>
      </w:pPr>
      <w:r>
        <w:rPr>
          <w:rFonts w:ascii="Times New Roman" w:hAnsi="Times New Roman" w:cs="Times New Roman"/>
        </w:rPr>
        <w:t xml:space="preserve">During the next academic year the liability is reduced as the rental payments are made to the operator and the asset is depreciated. </w:t>
      </w:r>
    </w:p>
    <w:p w:rsidR="00EE39BE" w:rsidRDefault="00EE39BE" w:rsidP="00EE39BE">
      <w:pPr>
        <w:rPr>
          <w:rFonts w:ascii="Times New Roman" w:hAnsi="Times New Roman" w:cs="Times New Roman"/>
        </w:rPr>
      </w:pPr>
      <w:r>
        <w:rPr>
          <w:rFonts w:ascii="Times New Roman" w:hAnsi="Times New Roman" w:cs="Times New Roman"/>
        </w:rPr>
        <w:t>Dr Cash £3m (cash received from the student rental)</w:t>
      </w:r>
    </w:p>
    <w:p w:rsidR="00EE39BE" w:rsidRDefault="00EE39BE" w:rsidP="00EE39BE">
      <w:pPr>
        <w:ind w:firstLine="720"/>
        <w:rPr>
          <w:rFonts w:ascii="Times New Roman" w:hAnsi="Times New Roman" w:cs="Times New Roman"/>
        </w:rPr>
      </w:pPr>
      <w:r>
        <w:rPr>
          <w:rFonts w:ascii="Times New Roman" w:hAnsi="Times New Roman" w:cs="Times New Roman"/>
        </w:rPr>
        <w:t>Cr income £3m (student rental income)</w:t>
      </w:r>
    </w:p>
    <w:p w:rsidR="00EE39BE" w:rsidRDefault="00EE39BE" w:rsidP="00EE39BE">
      <w:pPr>
        <w:rPr>
          <w:rFonts w:ascii="Times New Roman" w:hAnsi="Times New Roman" w:cs="Times New Roman"/>
        </w:rPr>
      </w:pPr>
      <w:r>
        <w:rPr>
          <w:rFonts w:ascii="Times New Roman" w:hAnsi="Times New Roman" w:cs="Times New Roman"/>
        </w:rPr>
        <w:t>Dr Financial liability £3m</w:t>
      </w:r>
    </w:p>
    <w:p w:rsidR="00EE39BE" w:rsidRDefault="00EE39BE" w:rsidP="00EE39BE">
      <w:pPr>
        <w:rPr>
          <w:rFonts w:ascii="Times New Roman" w:hAnsi="Times New Roman" w:cs="Times New Roman"/>
        </w:rPr>
      </w:pPr>
      <w:r>
        <w:rPr>
          <w:rFonts w:ascii="Times New Roman" w:hAnsi="Times New Roman" w:cs="Times New Roman"/>
        </w:rPr>
        <w:tab/>
        <w:t>Cr cash £3m – rental payment to operator</w:t>
      </w:r>
    </w:p>
    <w:p w:rsidR="00EE39BE" w:rsidRDefault="00EE39BE" w:rsidP="00EE39BE">
      <w:pPr>
        <w:rPr>
          <w:rFonts w:ascii="Times New Roman" w:hAnsi="Times New Roman" w:cs="Times New Roman"/>
        </w:rPr>
      </w:pPr>
      <w:r>
        <w:rPr>
          <w:rFonts w:ascii="Times New Roman" w:hAnsi="Times New Roman" w:cs="Times New Roman"/>
        </w:rPr>
        <w:t>Dr Expenditure £3m</w:t>
      </w:r>
    </w:p>
    <w:p w:rsidR="00EE39BE" w:rsidRDefault="00EE39BE" w:rsidP="00EE39BE">
      <w:pPr>
        <w:rPr>
          <w:rFonts w:ascii="Times New Roman" w:hAnsi="Times New Roman" w:cs="Times New Roman"/>
        </w:rPr>
      </w:pPr>
      <w:r>
        <w:rPr>
          <w:rFonts w:ascii="Times New Roman" w:hAnsi="Times New Roman" w:cs="Times New Roman"/>
        </w:rPr>
        <w:tab/>
        <w:t>Cr fixed assets £3m – being the depreciation of the fixed asset over the life for which it is recognised.</w:t>
      </w:r>
    </w:p>
    <w:p w:rsidR="00EE39BE" w:rsidRPr="005F278F" w:rsidRDefault="00EE39BE" w:rsidP="00EE39BE">
      <w:pPr>
        <w:rPr>
          <w:rFonts w:ascii="Times New Roman" w:hAnsi="Times New Roman" w:cs="Times New Roman"/>
        </w:rPr>
      </w:pPr>
      <w:r>
        <w:rPr>
          <w:rFonts w:ascii="Times New Roman" w:hAnsi="Times New Roman" w:cs="Times New Roman"/>
        </w:rPr>
        <w:t xml:space="preserve">By the next year end the institution is likely to have entered into a further nominations agreement resulting in the above entries being repeated for the newly agreed nominations and so on. </w:t>
      </w:r>
    </w:p>
    <w:p w:rsidR="00C35071" w:rsidRPr="005F278F" w:rsidRDefault="00C35071" w:rsidP="00C35071">
      <w:pPr>
        <w:rPr>
          <w:rFonts w:ascii="Times New Roman" w:hAnsi="Times New Roman" w:cs="Times New Roman"/>
          <w:b/>
          <w:i/>
        </w:rPr>
      </w:pPr>
      <w:r w:rsidRPr="005F278F">
        <w:rPr>
          <w:rFonts w:ascii="Times New Roman" w:hAnsi="Times New Roman" w:cs="Times New Roman"/>
          <w:b/>
          <w:i/>
        </w:rPr>
        <w:t>Summary</w:t>
      </w:r>
    </w:p>
    <w:p w:rsidR="0056602F" w:rsidRPr="00AE3BF7" w:rsidRDefault="00C35071" w:rsidP="0056602F">
      <w:pPr>
        <w:rPr>
          <w:rFonts w:ascii="Times New Roman" w:hAnsi="Times New Roman" w:cs="Times New Roman"/>
          <w:b/>
          <w:i/>
        </w:rPr>
      </w:pPr>
      <w:r w:rsidRPr="005F278F">
        <w:rPr>
          <w:rFonts w:ascii="Times New Roman" w:hAnsi="Times New Roman" w:cs="Times New Roman"/>
          <w:b/>
          <w:i/>
        </w:rPr>
        <w:t>An arrangement has to pass all the tests set out above to be a service concession arrangement. The above example passes tests 1 to 3 but does not have a minimum guaranteed lease payment and is therefore not considered a service concession arrangement.</w:t>
      </w:r>
    </w:p>
    <w:p w:rsidR="008E266D" w:rsidRDefault="008E266D" w:rsidP="0056602F">
      <w:pPr>
        <w:rPr>
          <w:rFonts w:ascii="Times New Roman" w:hAnsi="Times New Roman" w:cs="Times New Roman"/>
          <w:b/>
        </w:rPr>
      </w:pPr>
    </w:p>
    <w:p w:rsidR="0056602F" w:rsidRPr="005F278F" w:rsidRDefault="0056602F" w:rsidP="0056602F">
      <w:pPr>
        <w:rPr>
          <w:rFonts w:ascii="Times New Roman" w:hAnsi="Times New Roman" w:cs="Times New Roman"/>
          <w:b/>
        </w:rPr>
      </w:pPr>
      <w:r w:rsidRPr="005F278F">
        <w:rPr>
          <w:rFonts w:ascii="Times New Roman" w:hAnsi="Times New Roman" w:cs="Times New Roman"/>
          <w:b/>
        </w:rPr>
        <w:lastRenderedPageBreak/>
        <w:t>Accounting treatment under 2007 SORP</w:t>
      </w:r>
    </w:p>
    <w:p w:rsidR="00C35071" w:rsidRPr="005F278F" w:rsidRDefault="00C35071" w:rsidP="00C35071">
      <w:pPr>
        <w:rPr>
          <w:rFonts w:ascii="Times New Roman" w:hAnsi="Times New Roman" w:cs="Times New Roman"/>
        </w:rPr>
      </w:pPr>
      <w:r w:rsidRPr="005F278F">
        <w:rPr>
          <w:rFonts w:ascii="Times New Roman" w:hAnsi="Times New Roman" w:cs="Times New Roman"/>
        </w:rPr>
        <w:t>“Off Balance Sheet” Analysis under FRS5 application note 5, a risk and rewards based standard resulted in the scheme being off balance sheet as the balance of the risks and rewards were deemed to reside with the operator. This means that amounts due to the operator are treated as an expense in the year in which they are incurred.</w:t>
      </w:r>
    </w:p>
    <w:p w:rsidR="0056602F" w:rsidRPr="005F278F" w:rsidRDefault="0056602F" w:rsidP="0056602F">
      <w:pPr>
        <w:rPr>
          <w:rFonts w:ascii="Times New Roman" w:hAnsi="Times New Roman" w:cs="Times New Roman"/>
          <w:b/>
        </w:rPr>
      </w:pPr>
      <w:r w:rsidRPr="005F278F">
        <w:rPr>
          <w:rFonts w:ascii="Times New Roman" w:hAnsi="Times New Roman" w:cs="Times New Roman"/>
          <w:b/>
        </w:rPr>
        <w:t>Accounting treatment under FRS102</w:t>
      </w:r>
    </w:p>
    <w:p w:rsidR="00EE4627" w:rsidRPr="005F278F" w:rsidRDefault="00EE4627" w:rsidP="00EE4627">
      <w:pPr>
        <w:rPr>
          <w:rFonts w:ascii="Times New Roman" w:hAnsi="Times New Roman" w:cs="Times New Roman"/>
          <w:b/>
        </w:rPr>
      </w:pPr>
      <w:r w:rsidRPr="005F278F">
        <w:rPr>
          <w:rFonts w:ascii="Times New Roman" w:hAnsi="Times New Roman" w:cs="Times New Roman"/>
        </w:rPr>
        <w:t>The present value of the minimum lease payments is nil and there is no asset and corresponding liability to be recorded. Application of the lease accounting requirements will also result in no asset or liability on balance sheet since the present value of the minimum lease payments is nil.</w:t>
      </w:r>
    </w:p>
    <w:p w:rsidR="00EE4627" w:rsidRPr="005F278F" w:rsidRDefault="00EE4627" w:rsidP="00EE4627">
      <w:pPr>
        <w:rPr>
          <w:rFonts w:ascii="Times New Roman" w:hAnsi="Times New Roman" w:cs="Times New Roman"/>
        </w:rPr>
      </w:pPr>
      <w:r w:rsidRPr="005F278F">
        <w:rPr>
          <w:rFonts w:ascii="Times New Roman" w:hAnsi="Times New Roman" w:cs="Times New Roman"/>
        </w:rPr>
        <w:t>No balance sheet entries are required as the arrangement is off balance sheet. The SORP requires disclosure of the nature of the service concession arrangement even though there are no “on balance sheet” accounting requirements.</w:t>
      </w:r>
    </w:p>
    <w:p w:rsidR="0056602F" w:rsidRPr="005F278F" w:rsidRDefault="0056602F" w:rsidP="00EE1786">
      <w:pPr>
        <w:rPr>
          <w:rFonts w:ascii="Times New Roman" w:hAnsi="Times New Roman" w:cs="Times New Roman"/>
        </w:rPr>
      </w:pPr>
    </w:p>
    <w:p w:rsidR="0056602F" w:rsidRPr="005F278F" w:rsidRDefault="0056602F" w:rsidP="0056602F">
      <w:pPr>
        <w:jc w:val="center"/>
        <w:rPr>
          <w:rFonts w:ascii="Times New Roman" w:hAnsi="Times New Roman" w:cs="Times New Roman"/>
        </w:rPr>
      </w:pPr>
    </w:p>
    <w:p w:rsidR="0056602F" w:rsidRPr="005F278F" w:rsidRDefault="0056602F" w:rsidP="0056602F">
      <w:pPr>
        <w:jc w:val="center"/>
        <w:rPr>
          <w:rFonts w:ascii="Times New Roman" w:hAnsi="Times New Roman" w:cs="Times New Roman"/>
        </w:rPr>
      </w:pPr>
    </w:p>
    <w:p w:rsidR="0056602F" w:rsidRPr="005F278F" w:rsidRDefault="0056602F" w:rsidP="0056602F">
      <w:pPr>
        <w:jc w:val="center"/>
        <w:rPr>
          <w:rFonts w:ascii="Times New Roman" w:hAnsi="Times New Roman" w:cs="Times New Roman"/>
        </w:rPr>
      </w:pPr>
    </w:p>
    <w:p w:rsidR="0056602F" w:rsidRPr="005F278F" w:rsidRDefault="0056602F" w:rsidP="0056602F">
      <w:pPr>
        <w:jc w:val="center"/>
        <w:rPr>
          <w:rFonts w:ascii="Times New Roman" w:hAnsi="Times New Roman" w:cs="Times New Roman"/>
        </w:rPr>
      </w:pPr>
    </w:p>
    <w:p w:rsidR="00EE1786" w:rsidRPr="005F278F" w:rsidRDefault="00EE1786">
      <w:pPr>
        <w:rPr>
          <w:rFonts w:ascii="Times New Roman" w:hAnsi="Times New Roman" w:cs="Times New Roman"/>
          <w:b/>
        </w:rPr>
      </w:pPr>
      <w:r w:rsidRPr="005F278F">
        <w:rPr>
          <w:rFonts w:ascii="Times New Roman" w:hAnsi="Times New Roman" w:cs="Times New Roman"/>
          <w:b/>
        </w:rPr>
        <w:br w:type="page"/>
      </w:r>
    </w:p>
    <w:p w:rsidR="00605D46" w:rsidRPr="0076555B" w:rsidRDefault="00605D46" w:rsidP="00FD2028">
      <w:pPr>
        <w:rPr>
          <w:rFonts w:ascii="Times New Roman" w:hAnsi="Times New Roman" w:cs="Times New Roman"/>
          <w:b/>
          <w:color w:val="002060"/>
          <w:sz w:val="28"/>
          <w:szCs w:val="28"/>
        </w:rPr>
      </w:pPr>
      <w:r w:rsidRPr="0076555B">
        <w:rPr>
          <w:rFonts w:ascii="Times New Roman" w:hAnsi="Times New Roman" w:cs="Times New Roman"/>
          <w:b/>
          <w:color w:val="002060"/>
          <w:sz w:val="28"/>
          <w:szCs w:val="28"/>
        </w:rPr>
        <w:lastRenderedPageBreak/>
        <w:t>Case Study 5 – PFI arrangement for the construction and servicing of a Halls of Residence</w:t>
      </w:r>
    </w:p>
    <w:p w:rsidR="00605D46" w:rsidRPr="005F278F" w:rsidRDefault="00605D46" w:rsidP="00FD2028">
      <w:pPr>
        <w:rPr>
          <w:rFonts w:ascii="Times New Roman" w:hAnsi="Times New Roman" w:cs="Times New Roman"/>
          <w:b/>
        </w:rPr>
      </w:pPr>
      <w:r w:rsidRPr="005F278F">
        <w:rPr>
          <w:rFonts w:ascii="Times New Roman" w:hAnsi="Times New Roman" w:cs="Times New Roman"/>
          <w:b/>
        </w:rPr>
        <w:t>Background</w:t>
      </w:r>
    </w:p>
    <w:p w:rsidR="00605D46" w:rsidRPr="00E90C0D" w:rsidRDefault="00605D46" w:rsidP="00E90C0D">
      <w:pPr>
        <w:pStyle w:val="ListParagraph"/>
        <w:numPr>
          <w:ilvl w:val="0"/>
          <w:numId w:val="49"/>
        </w:numPr>
        <w:rPr>
          <w:rFonts w:ascii="Times New Roman" w:hAnsi="Times New Roman" w:cs="Times New Roman"/>
          <w:b/>
        </w:rPr>
      </w:pPr>
      <w:r w:rsidRPr="00E90C0D">
        <w:rPr>
          <w:rFonts w:ascii="Times New Roman" w:hAnsi="Times New Roman" w:cs="Times New Roman"/>
        </w:rPr>
        <w:t>The University entered into a Public Private Partnership with a Housing Association (HA) to construct a new Halls of Residence. Two sit</w:t>
      </w:r>
      <w:r w:rsidR="00E01286">
        <w:rPr>
          <w:rFonts w:ascii="Times New Roman" w:hAnsi="Times New Roman" w:cs="Times New Roman"/>
        </w:rPr>
        <w:t>es were leased to the HA via a 3</w:t>
      </w:r>
      <w:r w:rsidRPr="00E90C0D">
        <w:rPr>
          <w:rFonts w:ascii="Times New Roman" w:hAnsi="Times New Roman" w:cs="Times New Roman"/>
        </w:rPr>
        <w:t>0 year lease, the HA demolished the existing Halls on the sites and constructed new Halls in their place.</w:t>
      </w:r>
      <w:r w:rsidRPr="00E90C0D">
        <w:rPr>
          <w:rFonts w:ascii="Times New Roman" w:hAnsi="Times New Roman" w:cs="Times New Roman"/>
          <w:b/>
        </w:rPr>
        <w:t xml:space="preserve"> </w:t>
      </w:r>
    </w:p>
    <w:p w:rsidR="00605D46" w:rsidRPr="00E90C0D" w:rsidRDefault="00605D46" w:rsidP="00E90C0D">
      <w:pPr>
        <w:pStyle w:val="ListParagraph"/>
        <w:numPr>
          <w:ilvl w:val="0"/>
          <w:numId w:val="49"/>
        </w:numPr>
        <w:rPr>
          <w:rFonts w:ascii="Times New Roman" w:hAnsi="Times New Roman" w:cs="Times New Roman"/>
        </w:rPr>
      </w:pPr>
      <w:r w:rsidRPr="00E90C0D">
        <w:rPr>
          <w:rFonts w:ascii="Times New Roman" w:hAnsi="Times New Roman" w:cs="Times New Roman"/>
        </w:rPr>
        <w:t>The</w:t>
      </w:r>
      <w:r w:rsidR="00C35071" w:rsidRPr="00E90C0D">
        <w:rPr>
          <w:rFonts w:ascii="Times New Roman" w:hAnsi="Times New Roman" w:cs="Times New Roman"/>
        </w:rPr>
        <w:t xml:space="preserve"> University has a lease back from the HA for the</w:t>
      </w:r>
      <w:r w:rsidRPr="00E90C0D">
        <w:rPr>
          <w:rFonts w:ascii="Times New Roman" w:hAnsi="Times New Roman" w:cs="Times New Roman"/>
        </w:rPr>
        <w:t xml:space="preserve"> new Halls. The University pay a monthly payment</w:t>
      </w:r>
      <w:r w:rsidR="00C35071" w:rsidRPr="00E90C0D">
        <w:rPr>
          <w:rFonts w:ascii="Times New Roman" w:hAnsi="Times New Roman" w:cs="Times New Roman"/>
        </w:rPr>
        <w:t>, commonly referre</w:t>
      </w:r>
      <w:r w:rsidR="005F1AE8" w:rsidRPr="00E90C0D">
        <w:rPr>
          <w:rFonts w:ascii="Times New Roman" w:hAnsi="Times New Roman" w:cs="Times New Roman"/>
        </w:rPr>
        <w:t>d</w:t>
      </w:r>
      <w:r w:rsidR="00C35071" w:rsidRPr="00E90C0D">
        <w:rPr>
          <w:rFonts w:ascii="Times New Roman" w:hAnsi="Times New Roman" w:cs="Times New Roman"/>
        </w:rPr>
        <w:t xml:space="preserve"> to as the unitary payment, for this lease</w:t>
      </w:r>
      <w:r w:rsidRPr="00E90C0D">
        <w:rPr>
          <w:rFonts w:ascii="Times New Roman" w:hAnsi="Times New Roman" w:cs="Times New Roman"/>
        </w:rPr>
        <w:t>. The HA is responsible for the hard facilities management services, and the University is responsible for soft facilities management services. The University is responsible for letting rooms and collecting rents, and also for all utility costs.</w:t>
      </w:r>
    </w:p>
    <w:p w:rsidR="00605D46" w:rsidRPr="00E90C0D" w:rsidRDefault="00605D46" w:rsidP="00E90C0D">
      <w:pPr>
        <w:pStyle w:val="ListParagraph"/>
        <w:numPr>
          <w:ilvl w:val="0"/>
          <w:numId w:val="49"/>
        </w:numPr>
        <w:rPr>
          <w:rFonts w:ascii="Times New Roman" w:hAnsi="Times New Roman" w:cs="Times New Roman"/>
        </w:rPr>
      </w:pPr>
      <w:r w:rsidRPr="00E90C0D">
        <w:rPr>
          <w:rFonts w:ascii="Times New Roman" w:hAnsi="Times New Roman" w:cs="Times New Roman"/>
        </w:rPr>
        <w:t>The University sets the level of rents to be charged and retains the void and rent risk.</w:t>
      </w:r>
    </w:p>
    <w:p w:rsidR="004E016E" w:rsidRPr="00E90C0D" w:rsidRDefault="00EE1786" w:rsidP="00E90C0D">
      <w:pPr>
        <w:pStyle w:val="ListParagraph"/>
        <w:numPr>
          <w:ilvl w:val="0"/>
          <w:numId w:val="49"/>
        </w:numPr>
        <w:rPr>
          <w:rFonts w:ascii="Times New Roman" w:hAnsi="Times New Roman" w:cs="Times New Roman"/>
        </w:rPr>
      </w:pPr>
      <w:r w:rsidRPr="00E90C0D">
        <w:rPr>
          <w:rFonts w:ascii="Times New Roman" w:hAnsi="Times New Roman" w:cs="Times New Roman"/>
        </w:rPr>
        <w:t>At the end of the arrangement the assets will transfer back to the University for nil consideration.</w:t>
      </w:r>
    </w:p>
    <w:p w:rsidR="0076555B" w:rsidRPr="0076555B" w:rsidRDefault="0076555B" w:rsidP="0076555B">
      <w:pPr>
        <w:rPr>
          <w:rFonts w:ascii="Times New Roman" w:hAnsi="Times New Roman" w:cs="Times New Roman"/>
          <w:color w:val="002060"/>
        </w:rPr>
      </w:pPr>
      <w:r w:rsidRPr="0076555B">
        <w:rPr>
          <w:rFonts w:ascii="Times New Roman" w:hAnsi="Times New Roman" w:cs="Times New Roman"/>
          <w:b/>
          <w:color w:val="002060"/>
        </w:rPr>
        <w:t>Application of SORP and FRS 102 service concession arrangements</w:t>
      </w:r>
    </w:p>
    <w:p w:rsidR="00CC7497" w:rsidRPr="005F278F" w:rsidRDefault="00CC7497" w:rsidP="00CC7497">
      <w:pPr>
        <w:rPr>
          <w:rFonts w:ascii="Times New Roman" w:hAnsi="Times New Roman" w:cs="Times New Roman"/>
          <w:b/>
        </w:rPr>
      </w:pPr>
      <w:r w:rsidRPr="005F278F">
        <w:rPr>
          <w:rFonts w:ascii="Times New Roman" w:hAnsi="Times New Roman" w:cs="Times New Roman"/>
          <w:b/>
        </w:rPr>
        <w:t>1)  Does the institution acts as principal in the arrangement?</w:t>
      </w:r>
    </w:p>
    <w:p w:rsidR="00C35071" w:rsidRPr="005F278F" w:rsidRDefault="00CC7497" w:rsidP="00CC7497">
      <w:pPr>
        <w:rPr>
          <w:rFonts w:ascii="Times New Roman" w:hAnsi="Times New Roman" w:cs="Times New Roman"/>
        </w:rPr>
      </w:pPr>
      <w:r w:rsidRPr="005F278F">
        <w:rPr>
          <w:rFonts w:ascii="Times New Roman" w:hAnsi="Times New Roman" w:cs="Times New Roman"/>
          <w:b/>
        </w:rPr>
        <w:t>Yes.</w:t>
      </w:r>
      <w:r w:rsidRPr="005F278F">
        <w:rPr>
          <w:rFonts w:ascii="Times New Roman" w:hAnsi="Times New Roman" w:cs="Times New Roman"/>
        </w:rPr>
        <w:t xml:space="preserve"> </w:t>
      </w:r>
    </w:p>
    <w:p w:rsidR="00CC7497" w:rsidRPr="005F278F" w:rsidRDefault="00CC7497" w:rsidP="00CC7497">
      <w:pPr>
        <w:rPr>
          <w:rFonts w:ascii="Times New Roman" w:hAnsi="Times New Roman" w:cs="Times New Roman"/>
        </w:rPr>
      </w:pPr>
      <w:r w:rsidRPr="005F278F">
        <w:rPr>
          <w:rFonts w:ascii="Times New Roman" w:hAnsi="Times New Roman" w:cs="Times New Roman"/>
        </w:rPr>
        <w:t xml:space="preserve">The University has contracted </w:t>
      </w:r>
      <w:r w:rsidR="009E40F9" w:rsidRPr="005F278F">
        <w:rPr>
          <w:rFonts w:ascii="Times New Roman" w:hAnsi="Times New Roman" w:cs="Times New Roman"/>
        </w:rPr>
        <w:t xml:space="preserve">directly </w:t>
      </w:r>
      <w:r w:rsidRPr="005F278F">
        <w:rPr>
          <w:rFonts w:ascii="Times New Roman" w:hAnsi="Times New Roman" w:cs="Times New Roman"/>
        </w:rPr>
        <w:t>with the Housing Association</w:t>
      </w:r>
      <w:r w:rsidR="009E40F9" w:rsidRPr="005F278F">
        <w:rPr>
          <w:rFonts w:ascii="Times New Roman" w:hAnsi="Times New Roman" w:cs="Times New Roman"/>
        </w:rPr>
        <w:t xml:space="preserve"> and pays a monthly unitary payment for the use of the asset.</w:t>
      </w:r>
    </w:p>
    <w:p w:rsidR="009E40F9" w:rsidRPr="005F278F" w:rsidRDefault="009E40F9" w:rsidP="00CC7497">
      <w:pPr>
        <w:rPr>
          <w:rFonts w:ascii="Times New Roman" w:hAnsi="Times New Roman" w:cs="Times New Roman"/>
        </w:rPr>
      </w:pPr>
      <w:r w:rsidRPr="005F278F">
        <w:rPr>
          <w:rFonts w:ascii="Times New Roman" w:hAnsi="Times New Roman" w:cs="Times New Roman"/>
        </w:rPr>
        <w:t>The University enters into separate arrangements with the students under which it acts as principal.</w:t>
      </w:r>
    </w:p>
    <w:p w:rsidR="00CC7497" w:rsidRPr="005F278F" w:rsidRDefault="00CC7497" w:rsidP="00CC7497">
      <w:pPr>
        <w:rPr>
          <w:rFonts w:ascii="Times New Roman" w:hAnsi="Times New Roman" w:cs="Times New Roman"/>
          <w:b/>
        </w:rPr>
      </w:pPr>
      <w:r w:rsidRPr="005F278F">
        <w:rPr>
          <w:rFonts w:ascii="Times New Roman" w:hAnsi="Times New Roman" w:cs="Times New Roman"/>
          <w:b/>
        </w:rPr>
        <w:t>2) Does the arrangement meet the definition of a service concession?</w:t>
      </w:r>
    </w:p>
    <w:p w:rsidR="00C35071" w:rsidRPr="005F278F" w:rsidRDefault="00CC7497" w:rsidP="00CC7497">
      <w:pPr>
        <w:rPr>
          <w:rFonts w:ascii="Times New Roman" w:hAnsi="Times New Roman" w:cs="Times New Roman"/>
        </w:rPr>
      </w:pPr>
      <w:r w:rsidRPr="005F278F">
        <w:rPr>
          <w:rFonts w:ascii="Times New Roman" w:hAnsi="Times New Roman" w:cs="Times New Roman"/>
          <w:b/>
        </w:rPr>
        <w:t>Yes.</w:t>
      </w:r>
      <w:r w:rsidRPr="005F278F">
        <w:rPr>
          <w:rFonts w:ascii="Times New Roman" w:hAnsi="Times New Roman" w:cs="Times New Roman"/>
        </w:rPr>
        <w:t xml:space="preserve"> </w:t>
      </w:r>
    </w:p>
    <w:p w:rsidR="00CC7497" w:rsidRPr="005F278F" w:rsidRDefault="00CC7497" w:rsidP="00CC7497">
      <w:pPr>
        <w:rPr>
          <w:rFonts w:ascii="Times New Roman" w:hAnsi="Times New Roman" w:cs="Times New Roman"/>
        </w:rPr>
      </w:pPr>
      <w:r w:rsidRPr="005F278F">
        <w:rPr>
          <w:rFonts w:ascii="Times New Roman" w:hAnsi="Times New Roman" w:cs="Times New Roman"/>
        </w:rPr>
        <w:t>The University (grantor) has contracted with the private sector (operator) to construct, operate and maintain infrastructure assets (student accommodation) for a specified period of time (30 years). The operator is paid for their services. The operator is contractually obliged to provide services to the public on behalf of the University</w:t>
      </w:r>
      <w:r w:rsidR="005F1AE8" w:rsidRPr="005F278F">
        <w:rPr>
          <w:rFonts w:ascii="Times New Roman" w:hAnsi="Times New Roman" w:cs="Times New Roman"/>
        </w:rPr>
        <w:t>.</w:t>
      </w:r>
    </w:p>
    <w:p w:rsidR="00CC7497" w:rsidRPr="005F278F" w:rsidRDefault="00CC7497" w:rsidP="00CC7497">
      <w:pPr>
        <w:rPr>
          <w:rFonts w:ascii="Times New Roman" w:hAnsi="Times New Roman" w:cs="Times New Roman"/>
          <w:b/>
        </w:rPr>
      </w:pPr>
      <w:r w:rsidRPr="005F278F">
        <w:rPr>
          <w:rFonts w:ascii="Times New Roman" w:hAnsi="Times New Roman" w:cs="Times New Roman"/>
          <w:b/>
        </w:rPr>
        <w:t>3) Does the arrangement pass the control test in FRS102?</w:t>
      </w:r>
    </w:p>
    <w:p w:rsidR="00CC7497" w:rsidRPr="005F278F" w:rsidRDefault="00CC7497" w:rsidP="00CC7497">
      <w:pPr>
        <w:autoSpaceDE w:val="0"/>
        <w:autoSpaceDN w:val="0"/>
        <w:adjustRightInd w:val="0"/>
        <w:rPr>
          <w:rFonts w:ascii="Times New Roman" w:hAnsi="Times New Roman" w:cs="Times New Roman"/>
          <w:b/>
          <w:color w:val="231F20"/>
        </w:rPr>
      </w:pPr>
      <w:r w:rsidRPr="005F278F">
        <w:rPr>
          <w:rFonts w:ascii="Times New Roman" w:hAnsi="Times New Roman" w:cs="Times New Roman"/>
          <w:b/>
        </w:rPr>
        <w:t xml:space="preserve">a) Does </w:t>
      </w:r>
      <w:r w:rsidRPr="005F278F">
        <w:rPr>
          <w:rFonts w:ascii="Times New Roman" w:hAnsi="Times New Roman" w:cs="Times New Roman"/>
          <w:b/>
          <w:color w:val="231F20"/>
        </w:rPr>
        <w:t>the University control or regulate what services the operator must provide using the infrastructure assets, to whom, and at what price?</w:t>
      </w:r>
    </w:p>
    <w:p w:rsidR="00C35071" w:rsidRPr="005F278F" w:rsidRDefault="00CC7497" w:rsidP="00CC7497">
      <w:pPr>
        <w:rPr>
          <w:rFonts w:ascii="Times New Roman" w:hAnsi="Times New Roman" w:cs="Times New Roman"/>
        </w:rPr>
      </w:pPr>
      <w:r w:rsidRPr="005F278F">
        <w:rPr>
          <w:rFonts w:ascii="Times New Roman" w:hAnsi="Times New Roman" w:cs="Times New Roman"/>
          <w:b/>
        </w:rPr>
        <w:t>Yes.</w:t>
      </w:r>
      <w:r w:rsidRPr="005F278F">
        <w:rPr>
          <w:rFonts w:ascii="Times New Roman" w:hAnsi="Times New Roman" w:cs="Times New Roman"/>
        </w:rPr>
        <w:t xml:space="preserve"> </w:t>
      </w:r>
    </w:p>
    <w:p w:rsidR="00BC1ADB" w:rsidRPr="005F278F" w:rsidRDefault="00BC1ADB" w:rsidP="00BC1ADB">
      <w:pPr>
        <w:rPr>
          <w:rFonts w:ascii="Times New Roman" w:hAnsi="Times New Roman" w:cs="Times New Roman"/>
        </w:rPr>
      </w:pPr>
      <w:r w:rsidRPr="005F278F">
        <w:rPr>
          <w:rFonts w:ascii="Times New Roman" w:hAnsi="Times New Roman" w:cs="Times New Roman"/>
          <w:b/>
        </w:rPr>
        <w:t>Control of services:</w:t>
      </w:r>
      <w:r w:rsidRPr="005F278F">
        <w:rPr>
          <w:rFonts w:ascii="Times New Roman" w:hAnsi="Times New Roman" w:cs="Times New Roman"/>
        </w:rPr>
        <w:t xml:space="preserve"> The </w:t>
      </w:r>
      <w:r w:rsidR="005F1AE8" w:rsidRPr="005F278F">
        <w:rPr>
          <w:rFonts w:ascii="Times New Roman" w:hAnsi="Times New Roman" w:cs="Times New Roman"/>
        </w:rPr>
        <w:t>U</w:t>
      </w:r>
      <w:r w:rsidRPr="005F278F">
        <w:rPr>
          <w:rFonts w:ascii="Times New Roman" w:hAnsi="Times New Roman" w:cs="Times New Roman"/>
        </w:rPr>
        <w:t>niversity requires the SPV to provide and maintain specific student accommodation assets in line with a specific service standard set out within the contract.</w:t>
      </w:r>
    </w:p>
    <w:p w:rsidR="00BC1ADB" w:rsidRPr="005F278F" w:rsidRDefault="00BC1ADB" w:rsidP="00BC1ADB">
      <w:pPr>
        <w:rPr>
          <w:rFonts w:ascii="Times New Roman" w:hAnsi="Times New Roman" w:cs="Times New Roman"/>
        </w:rPr>
      </w:pPr>
      <w:r w:rsidRPr="005F278F">
        <w:rPr>
          <w:rFonts w:ascii="Times New Roman" w:hAnsi="Times New Roman" w:cs="Times New Roman"/>
          <w:b/>
        </w:rPr>
        <w:t>Control of who uses the asset:</w:t>
      </w:r>
      <w:r w:rsidRPr="005F278F">
        <w:rPr>
          <w:rFonts w:ascii="Times New Roman" w:hAnsi="Times New Roman" w:cs="Times New Roman"/>
        </w:rPr>
        <w:t xml:space="preserve"> The </w:t>
      </w:r>
      <w:r w:rsidR="005F1AE8" w:rsidRPr="005F278F">
        <w:rPr>
          <w:rFonts w:ascii="Times New Roman" w:hAnsi="Times New Roman" w:cs="Times New Roman"/>
        </w:rPr>
        <w:t>U</w:t>
      </w:r>
      <w:r w:rsidRPr="005F278F">
        <w:rPr>
          <w:rFonts w:ascii="Times New Roman" w:hAnsi="Times New Roman" w:cs="Times New Roman"/>
        </w:rPr>
        <w:t xml:space="preserve">niversity controls the students who use the student accommodation as the </w:t>
      </w:r>
      <w:r w:rsidR="005F1AE8" w:rsidRPr="005F278F">
        <w:rPr>
          <w:rFonts w:ascii="Times New Roman" w:hAnsi="Times New Roman" w:cs="Times New Roman"/>
        </w:rPr>
        <w:t>U</w:t>
      </w:r>
      <w:r w:rsidRPr="005F278F">
        <w:rPr>
          <w:rFonts w:ascii="Times New Roman" w:hAnsi="Times New Roman" w:cs="Times New Roman"/>
        </w:rPr>
        <w:t>niversity has full control and occupancy relating to the use of the rooms.</w:t>
      </w:r>
    </w:p>
    <w:p w:rsidR="00BC1ADB" w:rsidRPr="005F278F" w:rsidRDefault="00BC1ADB" w:rsidP="00BC1ADB">
      <w:pPr>
        <w:rPr>
          <w:rFonts w:ascii="Times New Roman" w:hAnsi="Times New Roman" w:cs="Times New Roman"/>
        </w:rPr>
      </w:pPr>
      <w:r w:rsidRPr="005F278F">
        <w:rPr>
          <w:rFonts w:ascii="Times New Roman" w:hAnsi="Times New Roman" w:cs="Times New Roman"/>
          <w:b/>
        </w:rPr>
        <w:t>Control of price:</w:t>
      </w:r>
      <w:r w:rsidRPr="005F278F">
        <w:rPr>
          <w:rFonts w:ascii="Times New Roman" w:hAnsi="Times New Roman" w:cs="Times New Roman"/>
        </w:rPr>
        <w:t xml:space="preserve"> The existence of the price mechanism within the contractual arrangement means that this test is passed.</w:t>
      </w:r>
    </w:p>
    <w:p w:rsidR="00BC1ADB" w:rsidRPr="005F278F" w:rsidRDefault="00BC1ADB" w:rsidP="00CC7497">
      <w:pPr>
        <w:rPr>
          <w:rFonts w:ascii="Times New Roman" w:hAnsi="Times New Roman" w:cs="Times New Roman"/>
        </w:rPr>
      </w:pPr>
      <w:r w:rsidRPr="005F278F">
        <w:rPr>
          <w:rFonts w:ascii="Times New Roman" w:hAnsi="Times New Roman" w:cs="Times New Roman"/>
        </w:rPr>
        <w:lastRenderedPageBreak/>
        <w:t>The presence of the contractual agreement over the service specification and price mechanism  and the fact that the University has full control over the students that occupy the accommodation means that the University does control the services the operator must provide and at what price.</w:t>
      </w:r>
    </w:p>
    <w:p w:rsidR="00CC7497" w:rsidRPr="005F278F" w:rsidRDefault="00CC7497" w:rsidP="00CC7497">
      <w:pPr>
        <w:rPr>
          <w:rFonts w:ascii="Times New Roman" w:hAnsi="Times New Roman" w:cs="Times New Roman"/>
          <w:b/>
          <w:color w:val="231F20"/>
        </w:rPr>
      </w:pPr>
      <w:r w:rsidRPr="005F278F">
        <w:rPr>
          <w:rFonts w:ascii="Times New Roman" w:hAnsi="Times New Roman" w:cs="Times New Roman"/>
          <w:b/>
          <w:color w:val="231F20"/>
        </w:rPr>
        <w:t>b) Does the grantor control, through ownership, beneficial entitlement or otherwise, any significant residual interest in the assets at the end of the term of the arrangement?</w:t>
      </w:r>
    </w:p>
    <w:p w:rsidR="00CC7497" w:rsidRPr="005F278F" w:rsidRDefault="00CC7497" w:rsidP="00CC7497">
      <w:pPr>
        <w:rPr>
          <w:rFonts w:ascii="Times New Roman" w:hAnsi="Times New Roman" w:cs="Times New Roman"/>
        </w:rPr>
      </w:pPr>
      <w:r w:rsidRPr="005F278F">
        <w:rPr>
          <w:rFonts w:ascii="Times New Roman" w:hAnsi="Times New Roman" w:cs="Times New Roman"/>
          <w:b/>
        </w:rPr>
        <w:t>Yes</w:t>
      </w:r>
      <w:r w:rsidRPr="005F278F">
        <w:rPr>
          <w:rFonts w:ascii="Times New Roman" w:hAnsi="Times New Roman" w:cs="Times New Roman"/>
        </w:rPr>
        <w:t xml:space="preserve"> – At the end of the term the Asset transfers to the Univ</w:t>
      </w:r>
      <w:r w:rsidR="009E40F9" w:rsidRPr="005F278F">
        <w:rPr>
          <w:rFonts w:ascii="Times New Roman" w:hAnsi="Times New Roman" w:cs="Times New Roman"/>
        </w:rPr>
        <w:t>ersity but at nil consideration</w:t>
      </w:r>
      <w:r w:rsidRPr="005F278F">
        <w:rPr>
          <w:rFonts w:ascii="Times New Roman" w:hAnsi="Times New Roman" w:cs="Times New Roman"/>
        </w:rPr>
        <w:t>.</w:t>
      </w:r>
    </w:p>
    <w:p w:rsidR="00CC7497" w:rsidRPr="0076555B" w:rsidRDefault="00AE3BF7" w:rsidP="00CC7497">
      <w:pPr>
        <w:rPr>
          <w:rFonts w:ascii="Times New Roman" w:hAnsi="Times New Roman" w:cs="Times New Roman"/>
          <w:color w:val="002060"/>
        </w:rPr>
      </w:pPr>
      <w:r w:rsidRPr="0076555B">
        <w:rPr>
          <w:rFonts w:ascii="Times New Roman" w:hAnsi="Times New Roman" w:cs="Times New Roman"/>
          <w:b/>
          <w:color w:val="002060"/>
        </w:rPr>
        <w:t xml:space="preserve">Accounting for the Scheme - </w:t>
      </w:r>
      <w:r w:rsidR="00CC7497" w:rsidRPr="0076555B">
        <w:rPr>
          <w:rFonts w:ascii="Times New Roman" w:hAnsi="Times New Roman" w:cs="Times New Roman"/>
          <w:b/>
          <w:color w:val="002060"/>
        </w:rPr>
        <w:t>Has the institution guaranteed a minimum payment to the operator?</w:t>
      </w:r>
    </w:p>
    <w:p w:rsidR="00BC1ADB" w:rsidRPr="005F278F" w:rsidRDefault="00A664CF" w:rsidP="00CC7497">
      <w:pPr>
        <w:rPr>
          <w:rFonts w:ascii="Times New Roman" w:hAnsi="Times New Roman" w:cs="Times New Roman"/>
        </w:rPr>
      </w:pPr>
      <w:r w:rsidRPr="005F278F">
        <w:rPr>
          <w:rFonts w:ascii="Times New Roman" w:hAnsi="Times New Roman" w:cs="Times New Roman"/>
          <w:b/>
        </w:rPr>
        <w:t>Yes</w:t>
      </w:r>
      <w:r w:rsidRPr="005F278F">
        <w:rPr>
          <w:rFonts w:ascii="Times New Roman" w:hAnsi="Times New Roman" w:cs="Times New Roman"/>
        </w:rPr>
        <w:t>- The agreement involves a monthly service payment to the Housing Association. The arrangement is a traditional PFI scheme.</w:t>
      </w:r>
    </w:p>
    <w:p w:rsidR="00BC1ADB" w:rsidRPr="005F278F" w:rsidRDefault="00BC1ADB" w:rsidP="00BC1ADB">
      <w:pPr>
        <w:rPr>
          <w:rFonts w:ascii="Times New Roman" w:hAnsi="Times New Roman" w:cs="Times New Roman"/>
          <w:b/>
          <w:i/>
        </w:rPr>
      </w:pPr>
      <w:r w:rsidRPr="005F278F">
        <w:rPr>
          <w:rFonts w:ascii="Times New Roman" w:hAnsi="Times New Roman" w:cs="Times New Roman"/>
          <w:b/>
          <w:i/>
        </w:rPr>
        <w:t>Summary</w:t>
      </w:r>
    </w:p>
    <w:p w:rsidR="009E40F9" w:rsidRPr="00AE3BF7" w:rsidRDefault="00BC1ADB" w:rsidP="009E40F9">
      <w:pPr>
        <w:rPr>
          <w:rFonts w:ascii="Times New Roman" w:hAnsi="Times New Roman" w:cs="Times New Roman"/>
          <w:b/>
          <w:i/>
        </w:rPr>
      </w:pPr>
      <w:r w:rsidRPr="005F278F">
        <w:rPr>
          <w:rFonts w:ascii="Times New Roman" w:hAnsi="Times New Roman" w:cs="Times New Roman"/>
          <w:b/>
          <w:i/>
        </w:rPr>
        <w:t xml:space="preserve">An arrangement has to pass all the tests set out above to be a service concession arrangement. The above example passes all the tests and therefore the accounting should be considered in line with the service concession arrangement accounting requirements of the SORP. </w:t>
      </w:r>
    </w:p>
    <w:p w:rsidR="009E40F9" w:rsidRPr="005F278F" w:rsidRDefault="00CC7497" w:rsidP="009E40F9">
      <w:pPr>
        <w:rPr>
          <w:rFonts w:ascii="Times New Roman" w:hAnsi="Times New Roman" w:cs="Times New Roman"/>
          <w:b/>
        </w:rPr>
      </w:pPr>
      <w:r w:rsidRPr="005F278F">
        <w:rPr>
          <w:rFonts w:ascii="Times New Roman" w:hAnsi="Times New Roman" w:cs="Times New Roman"/>
          <w:b/>
        </w:rPr>
        <w:t>Accounting treatment under 2007 SORP</w:t>
      </w:r>
    </w:p>
    <w:p w:rsidR="00614E68" w:rsidRPr="005F278F" w:rsidRDefault="00614E68" w:rsidP="00614E68">
      <w:pPr>
        <w:rPr>
          <w:rFonts w:ascii="Times New Roman" w:hAnsi="Times New Roman" w:cs="Times New Roman"/>
        </w:rPr>
      </w:pPr>
      <w:r>
        <w:rPr>
          <w:rFonts w:ascii="Times New Roman" w:hAnsi="Times New Roman" w:cs="Times New Roman"/>
        </w:rPr>
        <w:t>Institutions consider schemes under</w:t>
      </w:r>
      <w:r w:rsidRPr="005F278F">
        <w:rPr>
          <w:rFonts w:ascii="Times New Roman" w:hAnsi="Times New Roman" w:cs="Times New Roman"/>
        </w:rPr>
        <w:t xml:space="preserve"> FRS5 application note 5, a risk and rewards based standard</w:t>
      </w:r>
      <w:r>
        <w:rPr>
          <w:rFonts w:ascii="Times New Roman" w:hAnsi="Times New Roman" w:cs="Times New Roman"/>
        </w:rPr>
        <w:t xml:space="preserve"> to conclude whether the circumstance of the individual scheme result in an on or off balance sheet treatment. In this particular example the scheme, using further detailed considerations which are not repeated here, was deemed off balance sheet </w:t>
      </w:r>
      <w:r w:rsidRPr="005F278F">
        <w:rPr>
          <w:rFonts w:ascii="Times New Roman" w:hAnsi="Times New Roman" w:cs="Times New Roman"/>
        </w:rPr>
        <w:t xml:space="preserve">as the balance of the risks and rewards were deemed to reside with the operator. This means that amounts due to the operator are treated as an expense in the year in which they are incurred. </w:t>
      </w:r>
    </w:p>
    <w:p w:rsidR="00CC7497" w:rsidRPr="005F278F" w:rsidRDefault="00CC7497" w:rsidP="00CC7497">
      <w:pPr>
        <w:rPr>
          <w:rFonts w:ascii="Times New Roman" w:hAnsi="Times New Roman" w:cs="Times New Roman"/>
          <w:b/>
        </w:rPr>
      </w:pPr>
      <w:r w:rsidRPr="005F278F">
        <w:rPr>
          <w:rFonts w:ascii="Times New Roman" w:hAnsi="Times New Roman" w:cs="Times New Roman"/>
          <w:b/>
        </w:rPr>
        <w:t>Accounting treatment under FRS102</w:t>
      </w:r>
    </w:p>
    <w:p w:rsidR="00CC7497" w:rsidRPr="005F278F" w:rsidRDefault="00A664CF" w:rsidP="009E40F9">
      <w:pPr>
        <w:rPr>
          <w:rFonts w:ascii="Times New Roman" w:hAnsi="Times New Roman" w:cs="Times New Roman"/>
        </w:rPr>
      </w:pPr>
      <w:r w:rsidRPr="005F278F">
        <w:rPr>
          <w:rFonts w:ascii="Times New Roman" w:hAnsi="Times New Roman" w:cs="Times New Roman"/>
        </w:rPr>
        <w:t>On</w:t>
      </w:r>
      <w:r w:rsidR="00CC7497" w:rsidRPr="005F278F">
        <w:rPr>
          <w:rFonts w:ascii="Times New Roman" w:hAnsi="Times New Roman" w:cs="Times New Roman"/>
        </w:rPr>
        <w:t xml:space="preserve"> Balance Sheet </w:t>
      </w:r>
    </w:p>
    <w:p w:rsidR="00A664CF" w:rsidRPr="005F278F" w:rsidRDefault="00A664CF" w:rsidP="00A664CF">
      <w:pPr>
        <w:rPr>
          <w:rFonts w:ascii="Times New Roman" w:hAnsi="Times New Roman" w:cs="Times New Roman"/>
          <w:b/>
        </w:rPr>
      </w:pPr>
      <w:r w:rsidRPr="005F278F">
        <w:rPr>
          <w:rFonts w:ascii="Times New Roman" w:hAnsi="Times New Roman" w:cs="Times New Roman"/>
          <w:b/>
        </w:rPr>
        <w:t>In this example let us assume:</w:t>
      </w:r>
    </w:p>
    <w:p w:rsidR="00A664CF" w:rsidRPr="005F278F" w:rsidRDefault="003939DB" w:rsidP="00A664CF">
      <w:pPr>
        <w:pStyle w:val="ListParagraph"/>
        <w:numPr>
          <w:ilvl w:val="0"/>
          <w:numId w:val="12"/>
        </w:numPr>
        <w:rPr>
          <w:rFonts w:ascii="Times New Roman" w:hAnsi="Times New Roman" w:cs="Times New Roman"/>
        </w:rPr>
      </w:pPr>
      <w:r>
        <w:rPr>
          <w:rFonts w:ascii="Times New Roman" w:hAnsi="Times New Roman" w:cs="Times New Roman"/>
        </w:rPr>
        <w:t>Present value of the guaranteed payments is £150m equivalent to the asset value</w:t>
      </w:r>
    </w:p>
    <w:p w:rsidR="00A664CF" w:rsidRPr="005F278F" w:rsidRDefault="00031E85" w:rsidP="00031E85">
      <w:pPr>
        <w:pStyle w:val="ListParagraph"/>
        <w:numPr>
          <w:ilvl w:val="0"/>
          <w:numId w:val="12"/>
        </w:numPr>
        <w:rPr>
          <w:rFonts w:ascii="Times New Roman" w:hAnsi="Times New Roman" w:cs="Times New Roman"/>
          <w:b/>
        </w:rPr>
      </w:pPr>
      <w:r w:rsidRPr="005F278F">
        <w:rPr>
          <w:rFonts w:ascii="Times New Roman" w:hAnsi="Times New Roman" w:cs="Times New Roman"/>
        </w:rPr>
        <w:t>Annual payments are made of £10m of which £1m relates to service payments and the remaining £9m is the capital repayment.</w:t>
      </w:r>
    </w:p>
    <w:p w:rsidR="00031E85" w:rsidRPr="005F278F" w:rsidRDefault="00031E85" w:rsidP="00031E85">
      <w:pPr>
        <w:pStyle w:val="ListParagraph"/>
        <w:numPr>
          <w:ilvl w:val="0"/>
          <w:numId w:val="12"/>
        </w:numPr>
        <w:rPr>
          <w:rFonts w:ascii="Times New Roman" w:hAnsi="Times New Roman" w:cs="Times New Roman"/>
          <w:b/>
        </w:rPr>
      </w:pPr>
      <w:r w:rsidRPr="005F278F">
        <w:rPr>
          <w:rFonts w:ascii="Times New Roman" w:hAnsi="Times New Roman" w:cs="Times New Roman"/>
        </w:rPr>
        <w:t>Interest charge is 4.3%.</w:t>
      </w:r>
      <w:r w:rsidR="00F544EA" w:rsidRPr="005F278F">
        <w:rPr>
          <w:rFonts w:ascii="Times New Roman" w:hAnsi="Times New Roman" w:cs="Times New Roman"/>
        </w:rPr>
        <w:t xml:space="preserve">(There will be one rate which when applied to the liability and taking into account the annual payments, will result in the financial liability </w:t>
      </w:r>
      <w:r w:rsidR="00EE3199" w:rsidRPr="005F278F">
        <w:rPr>
          <w:rFonts w:ascii="Times New Roman" w:hAnsi="Times New Roman" w:cs="Times New Roman"/>
        </w:rPr>
        <w:t>being nil at the end of the arrangement. This should be calculated using the effective interest method).</w:t>
      </w:r>
    </w:p>
    <w:p w:rsidR="00031E85" w:rsidRPr="005F278F" w:rsidRDefault="00031E85" w:rsidP="00031E85">
      <w:pPr>
        <w:pStyle w:val="ListParagraph"/>
        <w:numPr>
          <w:ilvl w:val="0"/>
          <w:numId w:val="12"/>
        </w:numPr>
        <w:rPr>
          <w:rFonts w:ascii="Times New Roman" w:hAnsi="Times New Roman" w:cs="Times New Roman"/>
          <w:b/>
        </w:rPr>
      </w:pPr>
      <w:r w:rsidRPr="005F278F">
        <w:rPr>
          <w:rFonts w:ascii="Times New Roman" w:hAnsi="Times New Roman" w:cs="Times New Roman"/>
        </w:rPr>
        <w:t>The term of the agreement is 30 years.</w:t>
      </w:r>
    </w:p>
    <w:p w:rsidR="00EE3199" w:rsidRPr="005F278F" w:rsidRDefault="00EE3199" w:rsidP="00031E85">
      <w:pPr>
        <w:pStyle w:val="ListParagraph"/>
        <w:numPr>
          <w:ilvl w:val="0"/>
          <w:numId w:val="12"/>
        </w:numPr>
        <w:rPr>
          <w:rFonts w:ascii="Times New Roman" w:hAnsi="Times New Roman" w:cs="Times New Roman"/>
          <w:b/>
        </w:rPr>
      </w:pPr>
      <w:r w:rsidRPr="005F278F">
        <w:rPr>
          <w:rFonts w:ascii="Times New Roman" w:hAnsi="Times New Roman" w:cs="Times New Roman"/>
        </w:rPr>
        <w:t xml:space="preserve">This example ignores lifecycle cost throughout the arrangement. </w:t>
      </w:r>
    </w:p>
    <w:p w:rsidR="00031E85" w:rsidRPr="005F278F" w:rsidRDefault="00031E85" w:rsidP="00031E85">
      <w:pPr>
        <w:rPr>
          <w:rFonts w:ascii="Times New Roman" w:hAnsi="Times New Roman" w:cs="Times New Roman"/>
          <w:b/>
        </w:rPr>
      </w:pPr>
      <w:r w:rsidRPr="005F278F">
        <w:rPr>
          <w:rFonts w:ascii="Times New Roman" w:hAnsi="Times New Roman" w:cs="Times New Roman"/>
          <w:b/>
        </w:rPr>
        <w:t>To bring the asset on balance sheet</w:t>
      </w:r>
    </w:p>
    <w:p w:rsidR="00031E85" w:rsidRPr="005F278F" w:rsidRDefault="00031E85" w:rsidP="00031E85">
      <w:pPr>
        <w:rPr>
          <w:rFonts w:ascii="Times New Roman" w:hAnsi="Times New Roman" w:cs="Times New Roman"/>
        </w:rPr>
      </w:pPr>
      <w:r w:rsidRPr="005F278F">
        <w:rPr>
          <w:rFonts w:ascii="Times New Roman" w:hAnsi="Times New Roman" w:cs="Times New Roman"/>
        </w:rPr>
        <w:t>Dr Asset</w:t>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t>£150m</w:t>
      </w:r>
    </w:p>
    <w:p w:rsidR="00031E85" w:rsidRPr="005F278F" w:rsidRDefault="00031E85" w:rsidP="00031E85">
      <w:pPr>
        <w:rPr>
          <w:rFonts w:ascii="Times New Roman" w:hAnsi="Times New Roman" w:cs="Times New Roman"/>
        </w:rPr>
      </w:pPr>
      <w:r w:rsidRPr="005F278F">
        <w:rPr>
          <w:rFonts w:ascii="Times New Roman" w:hAnsi="Times New Roman" w:cs="Times New Roman"/>
        </w:rPr>
        <w:tab/>
        <w:t>Cr Liability</w:t>
      </w:r>
      <w:r w:rsidRPr="005F278F">
        <w:rPr>
          <w:rFonts w:ascii="Times New Roman" w:hAnsi="Times New Roman" w:cs="Times New Roman"/>
        </w:rPr>
        <w:tab/>
      </w:r>
      <w:r w:rsidRPr="005F278F">
        <w:rPr>
          <w:rFonts w:ascii="Times New Roman" w:hAnsi="Times New Roman" w:cs="Times New Roman"/>
        </w:rPr>
        <w:tab/>
      </w:r>
      <w:r w:rsidR="009E40F9" w:rsidRPr="005F278F">
        <w:rPr>
          <w:rFonts w:ascii="Times New Roman" w:hAnsi="Times New Roman" w:cs="Times New Roman"/>
        </w:rPr>
        <w:t>(</w:t>
      </w:r>
      <w:r w:rsidRPr="005F278F">
        <w:rPr>
          <w:rFonts w:ascii="Times New Roman" w:hAnsi="Times New Roman" w:cs="Times New Roman"/>
        </w:rPr>
        <w:t>£150m</w:t>
      </w:r>
      <w:r w:rsidR="009E40F9" w:rsidRPr="005F278F">
        <w:rPr>
          <w:rFonts w:ascii="Times New Roman" w:hAnsi="Times New Roman" w:cs="Times New Roman"/>
        </w:rPr>
        <w:t>)</w:t>
      </w:r>
    </w:p>
    <w:p w:rsidR="00031E85" w:rsidRDefault="00031E85" w:rsidP="00031E85">
      <w:pPr>
        <w:rPr>
          <w:rFonts w:ascii="Times New Roman" w:hAnsi="Times New Roman" w:cs="Times New Roman"/>
          <w:i/>
        </w:rPr>
      </w:pPr>
      <w:r w:rsidRPr="005F278F">
        <w:rPr>
          <w:rFonts w:ascii="Times New Roman" w:hAnsi="Times New Roman" w:cs="Times New Roman"/>
          <w:i/>
        </w:rPr>
        <w:t>This brings the Halls of Residence on balance sheet as an asset of the University.</w:t>
      </w:r>
    </w:p>
    <w:p w:rsidR="00E01286" w:rsidRDefault="00E01286" w:rsidP="00031E85">
      <w:pPr>
        <w:rPr>
          <w:rFonts w:ascii="Times New Roman" w:hAnsi="Times New Roman" w:cs="Times New Roman"/>
          <w:b/>
        </w:rPr>
      </w:pPr>
    </w:p>
    <w:p w:rsidR="00E01286" w:rsidRDefault="00E01286" w:rsidP="00031E85">
      <w:pPr>
        <w:rPr>
          <w:rFonts w:ascii="Times New Roman" w:hAnsi="Times New Roman" w:cs="Times New Roman"/>
          <w:b/>
        </w:rPr>
      </w:pPr>
      <w:r w:rsidRPr="00E01286">
        <w:rPr>
          <w:rFonts w:ascii="Times New Roman" w:hAnsi="Times New Roman" w:cs="Times New Roman"/>
          <w:b/>
        </w:rPr>
        <w:t>The asset is subject to depreciation on a straight line basis over 30 years</w:t>
      </w:r>
    </w:p>
    <w:p w:rsidR="00E01286" w:rsidRPr="005F278F" w:rsidRDefault="00E01286" w:rsidP="00E01286">
      <w:pPr>
        <w:ind w:firstLine="720"/>
        <w:rPr>
          <w:rFonts w:ascii="Times New Roman" w:hAnsi="Times New Roman" w:cs="Times New Roman"/>
        </w:rPr>
      </w:pPr>
      <w:r w:rsidRPr="005F278F">
        <w:rPr>
          <w:rFonts w:ascii="Times New Roman" w:hAnsi="Times New Roman" w:cs="Times New Roman"/>
        </w:rPr>
        <w:t>Cr Asset (property, Plant and Equipment)</w:t>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t>(£</w:t>
      </w:r>
      <w:r>
        <w:rPr>
          <w:rFonts w:ascii="Times New Roman" w:hAnsi="Times New Roman" w:cs="Times New Roman"/>
        </w:rPr>
        <w:t>5</w:t>
      </w:r>
      <w:r w:rsidRPr="005F278F">
        <w:rPr>
          <w:rFonts w:ascii="Times New Roman" w:hAnsi="Times New Roman" w:cs="Times New Roman"/>
        </w:rPr>
        <w:t>.</w:t>
      </w:r>
      <w:r>
        <w:rPr>
          <w:rFonts w:ascii="Times New Roman" w:hAnsi="Times New Roman" w:cs="Times New Roman"/>
        </w:rPr>
        <w:t>0</w:t>
      </w:r>
      <w:r w:rsidRPr="005F278F">
        <w:rPr>
          <w:rFonts w:ascii="Times New Roman" w:hAnsi="Times New Roman" w:cs="Times New Roman"/>
        </w:rPr>
        <w:t>m)</w:t>
      </w:r>
    </w:p>
    <w:p w:rsidR="00E01286" w:rsidRPr="005F278F" w:rsidRDefault="00E01286" w:rsidP="00E01286">
      <w:pPr>
        <w:rPr>
          <w:rFonts w:ascii="Times New Roman" w:hAnsi="Times New Roman" w:cs="Times New Roman"/>
        </w:rPr>
      </w:pPr>
      <w:r w:rsidRPr="005F278F">
        <w:rPr>
          <w:rFonts w:ascii="Times New Roman" w:hAnsi="Times New Roman" w:cs="Times New Roman"/>
        </w:rPr>
        <w:t xml:space="preserve">Dr Consolidated Income Statement - Expenditure </w:t>
      </w:r>
      <w:r w:rsidRPr="005F278F">
        <w:rPr>
          <w:rFonts w:ascii="Times New Roman" w:hAnsi="Times New Roman" w:cs="Times New Roman"/>
        </w:rPr>
        <w:tab/>
        <w:t>£</w:t>
      </w:r>
      <w:r>
        <w:rPr>
          <w:rFonts w:ascii="Times New Roman" w:hAnsi="Times New Roman" w:cs="Times New Roman"/>
        </w:rPr>
        <w:t>5.0</w:t>
      </w:r>
      <w:r w:rsidRPr="005F278F">
        <w:rPr>
          <w:rFonts w:ascii="Times New Roman" w:hAnsi="Times New Roman" w:cs="Times New Roman"/>
        </w:rPr>
        <w:t>m</w:t>
      </w:r>
    </w:p>
    <w:p w:rsidR="00E01286" w:rsidRPr="005F278F" w:rsidRDefault="00E01286" w:rsidP="00E01286">
      <w:pPr>
        <w:rPr>
          <w:rFonts w:ascii="Times New Roman" w:hAnsi="Times New Roman" w:cs="Times New Roman"/>
          <w:i/>
        </w:rPr>
      </w:pPr>
      <w:r w:rsidRPr="005F278F">
        <w:rPr>
          <w:rFonts w:ascii="Times New Roman" w:hAnsi="Times New Roman" w:cs="Times New Roman"/>
          <w:i/>
        </w:rPr>
        <w:t xml:space="preserve">This depreciates the asset. Note that capital additions may be required where significant lifecycle costs are incurred.  </w:t>
      </w:r>
      <w:r>
        <w:rPr>
          <w:rFonts w:ascii="Times New Roman" w:hAnsi="Times New Roman" w:cs="Times New Roman"/>
          <w:i/>
        </w:rPr>
        <w:t>This assumes an asset life of 3</w:t>
      </w:r>
      <w:r w:rsidRPr="005F278F">
        <w:rPr>
          <w:rFonts w:ascii="Times New Roman" w:hAnsi="Times New Roman" w:cs="Times New Roman"/>
          <w:i/>
        </w:rPr>
        <w:t>0 years.</w:t>
      </w:r>
    </w:p>
    <w:p w:rsidR="00E01286" w:rsidRPr="00E01286" w:rsidRDefault="00E01286" w:rsidP="00031E85">
      <w:pPr>
        <w:rPr>
          <w:rFonts w:ascii="Times New Roman" w:hAnsi="Times New Roman" w:cs="Times New Roman"/>
          <w:b/>
        </w:rPr>
      </w:pPr>
    </w:p>
    <w:p w:rsidR="00031E85" w:rsidRPr="005F278F" w:rsidRDefault="00031E85" w:rsidP="00031E85">
      <w:pPr>
        <w:rPr>
          <w:rFonts w:ascii="Times New Roman" w:hAnsi="Times New Roman" w:cs="Times New Roman"/>
          <w:b/>
        </w:rPr>
      </w:pPr>
      <w:r w:rsidRPr="005F278F">
        <w:rPr>
          <w:rFonts w:ascii="Times New Roman" w:hAnsi="Times New Roman" w:cs="Times New Roman"/>
          <w:b/>
        </w:rPr>
        <w:t>To account for the year one annual payment</w:t>
      </w:r>
    </w:p>
    <w:p w:rsidR="00031E85" w:rsidRPr="005F278F" w:rsidRDefault="00031E85" w:rsidP="00031E85">
      <w:pPr>
        <w:rPr>
          <w:rFonts w:ascii="Times New Roman" w:hAnsi="Times New Roman" w:cs="Times New Roman"/>
        </w:rPr>
      </w:pPr>
      <w:r w:rsidRPr="005F278F">
        <w:rPr>
          <w:rFonts w:ascii="Times New Roman" w:hAnsi="Times New Roman" w:cs="Times New Roman"/>
        </w:rPr>
        <w:t>Dr Consolidated Income Statement Service Expense</w:t>
      </w:r>
      <w:r w:rsidRPr="005F278F">
        <w:rPr>
          <w:rFonts w:ascii="Times New Roman" w:hAnsi="Times New Roman" w:cs="Times New Roman"/>
        </w:rPr>
        <w:tab/>
        <w:t>£1m</w:t>
      </w:r>
    </w:p>
    <w:p w:rsidR="00031E85" w:rsidRPr="005F278F" w:rsidRDefault="009E40F9" w:rsidP="00031E85">
      <w:pPr>
        <w:rPr>
          <w:rFonts w:ascii="Times New Roman" w:hAnsi="Times New Roman" w:cs="Times New Roman"/>
        </w:rPr>
      </w:pPr>
      <w:r w:rsidRPr="005F278F">
        <w:rPr>
          <w:rFonts w:ascii="Times New Roman" w:hAnsi="Times New Roman" w:cs="Times New Roman"/>
        </w:rPr>
        <w:t>Dr Liability</w:t>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00031E85" w:rsidRPr="005F278F">
        <w:rPr>
          <w:rFonts w:ascii="Times New Roman" w:hAnsi="Times New Roman" w:cs="Times New Roman"/>
        </w:rPr>
        <w:t>£9m</w:t>
      </w:r>
    </w:p>
    <w:p w:rsidR="00031E85" w:rsidRPr="005F278F" w:rsidRDefault="00FF59D6" w:rsidP="00031E85">
      <w:pPr>
        <w:rPr>
          <w:rFonts w:ascii="Times New Roman" w:hAnsi="Times New Roman" w:cs="Times New Roman"/>
        </w:rPr>
      </w:pPr>
      <w:r w:rsidRPr="005F278F">
        <w:rPr>
          <w:rFonts w:ascii="Times New Roman" w:hAnsi="Times New Roman" w:cs="Times New Roman"/>
        </w:rPr>
        <w:tab/>
      </w:r>
      <w:r w:rsidR="009E40F9" w:rsidRPr="005F278F">
        <w:rPr>
          <w:rFonts w:ascii="Times New Roman" w:hAnsi="Times New Roman" w:cs="Times New Roman"/>
        </w:rPr>
        <w:t>Cr Cash</w:t>
      </w:r>
      <w:r w:rsidR="009E40F9" w:rsidRPr="005F278F">
        <w:rPr>
          <w:rFonts w:ascii="Times New Roman" w:hAnsi="Times New Roman" w:cs="Times New Roman"/>
        </w:rPr>
        <w:tab/>
      </w:r>
      <w:r w:rsidR="009E40F9" w:rsidRPr="005F278F">
        <w:rPr>
          <w:rFonts w:ascii="Times New Roman" w:hAnsi="Times New Roman" w:cs="Times New Roman"/>
        </w:rPr>
        <w:tab/>
      </w:r>
      <w:r w:rsidR="009E40F9" w:rsidRPr="005F278F">
        <w:rPr>
          <w:rFonts w:ascii="Times New Roman" w:hAnsi="Times New Roman" w:cs="Times New Roman"/>
        </w:rPr>
        <w:tab/>
      </w:r>
      <w:r w:rsidRPr="005F278F">
        <w:rPr>
          <w:rFonts w:ascii="Times New Roman" w:hAnsi="Times New Roman" w:cs="Times New Roman"/>
        </w:rPr>
        <w:tab/>
      </w:r>
      <w:r w:rsidR="009E40F9" w:rsidRPr="005F278F">
        <w:rPr>
          <w:rFonts w:ascii="Times New Roman" w:hAnsi="Times New Roman" w:cs="Times New Roman"/>
        </w:rPr>
        <w:tab/>
      </w:r>
      <w:r w:rsidRPr="005F278F">
        <w:rPr>
          <w:rFonts w:ascii="Times New Roman" w:hAnsi="Times New Roman" w:cs="Times New Roman"/>
        </w:rPr>
        <w:tab/>
      </w:r>
      <w:r w:rsidR="009E40F9" w:rsidRPr="005F278F">
        <w:rPr>
          <w:rFonts w:ascii="Times New Roman" w:hAnsi="Times New Roman" w:cs="Times New Roman"/>
        </w:rPr>
        <w:t>(</w:t>
      </w:r>
      <w:r w:rsidR="00031E85" w:rsidRPr="005F278F">
        <w:rPr>
          <w:rFonts w:ascii="Times New Roman" w:hAnsi="Times New Roman" w:cs="Times New Roman"/>
        </w:rPr>
        <w:t>£10m</w:t>
      </w:r>
      <w:r w:rsidR="009E40F9" w:rsidRPr="005F278F">
        <w:rPr>
          <w:rFonts w:ascii="Times New Roman" w:hAnsi="Times New Roman" w:cs="Times New Roman"/>
        </w:rPr>
        <w:t>)</w:t>
      </w:r>
    </w:p>
    <w:p w:rsidR="00031E85" w:rsidRPr="005F278F" w:rsidRDefault="00031E85" w:rsidP="00031E85">
      <w:pPr>
        <w:rPr>
          <w:rFonts w:ascii="Times New Roman" w:hAnsi="Times New Roman" w:cs="Times New Roman"/>
        </w:rPr>
      </w:pPr>
      <w:r w:rsidRPr="005F278F">
        <w:rPr>
          <w:rFonts w:ascii="Times New Roman" w:hAnsi="Times New Roman" w:cs="Times New Roman"/>
        </w:rPr>
        <w:t>Dr Consolidated Income Statement – Interest Expense</w:t>
      </w:r>
      <w:r w:rsidRPr="005F278F">
        <w:rPr>
          <w:rFonts w:ascii="Times New Roman" w:hAnsi="Times New Roman" w:cs="Times New Roman"/>
        </w:rPr>
        <w:tab/>
        <w:t>£6.45m</w:t>
      </w:r>
    </w:p>
    <w:p w:rsidR="00031E85" w:rsidRPr="005F278F" w:rsidRDefault="009E40F9" w:rsidP="00031E85">
      <w:pPr>
        <w:rPr>
          <w:rFonts w:ascii="Times New Roman" w:hAnsi="Times New Roman" w:cs="Times New Roman"/>
        </w:rPr>
      </w:pPr>
      <w:r w:rsidRPr="005F278F">
        <w:rPr>
          <w:rFonts w:ascii="Times New Roman" w:hAnsi="Times New Roman" w:cs="Times New Roman"/>
        </w:rPr>
        <w:tab/>
        <w:t>Cr Liability</w:t>
      </w:r>
      <w:r w:rsidRPr="005F278F">
        <w:rPr>
          <w:rFonts w:ascii="Times New Roman" w:hAnsi="Times New Roman" w:cs="Times New Roman"/>
        </w:rPr>
        <w:tab/>
      </w:r>
      <w:r w:rsidRPr="005F278F">
        <w:rPr>
          <w:rFonts w:ascii="Times New Roman" w:hAnsi="Times New Roman" w:cs="Times New Roman"/>
        </w:rPr>
        <w:tab/>
      </w:r>
      <w:r w:rsidRPr="005F278F">
        <w:rPr>
          <w:rFonts w:ascii="Times New Roman" w:hAnsi="Times New Roman" w:cs="Times New Roman"/>
        </w:rPr>
        <w:tab/>
      </w:r>
      <w:r w:rsidR="00FF59D6" w:rsidRPr="005F278F">
        <w:rPr>
          <w:rFonts w:ascii="Times New Roman" w:hAnsi="Times New Roman" w:cs="Times New Roman"/>
        </w:rPr>
        <w:tab/>
      </w:r>
      <w:r w:rsidR="00FF59D6" w:rsidRPr="005F278F">
        <w:rPr>
          <w:rFonts w:ascii="Times New Roman" w:hAnsi="Times New Roman" w:cs="Times New Roman"/>
        </w:rPr>
        <w:tab/>
      </w:r>
      <w:r w:rsidRPr="005F278F">
        <w:rPr>
          <w:rFonts w:ascii="Times New Roman" w:hAnsi="Times New Roman" w:cs="Times New Roman"/>
        </w:rPr>
        <w:t>(</w:t>
      </w:r>
      <w:r w:rsidR="00031E85" w:rsidRPr="005F278F">
        <w:rPr>
          <w:rFonts w:ascii="Times New Roman" w:hAnsi="Times New Roman" w:cs="Times New Roman"/>
        </w:rPr>
        <w:t>£6.45m</w:t>
      </w:r>
      <w:r w:rsidRPr="005F278F">
        <w:rPr>
          <w:rFonts w:ascii="Times New Roman" w:hAnsi="Times New Roman" w:cs="Times New Roman"/>
        </w:rPr>
        <w:t>)</w:t>
      </w:r>
    </w:p>
    <w:p w:rsidR="00F81A87" w:rsidRPr="005F278F" w:rsidRDefault="00F81A87" w:rsidP="00031E85">
      <w:pPr>
        <w:rPr>
          <w:rFonts w:ascii="Times New Roman" w:hAnsi="Times New Roman" w:cs="Times New Roman"/>
          <w:i/>
        </w:rPr>
      </w:pPr>
      <w:r w:rsidRPr="005F278F">
        <w:rPr>
          <w:rFonts w:ascii="Times New Roman" w:hAnsi="Times New Roman" w:cs="Times New Roman"/>
          <w:i/>
        </w:rPr>
        <w:t>This accounts for the annual payment and the interest charge.</w:t>
      </w:r>
    </w:p>
    <w:p w:rsidR="004E016E" w:rsidRPr="005F278F" w:rsidRDefault="004E016E" w:rsidP="00031E85">
      <w:pPr>
        <w:rPr>
          <w:rFonts w:ascii="Times New Roman" w:hAnsi="Times New Roman" w:cs="Times New Roman"/>
          <w:i/>
        </w:rPr>
      </w:pPr>
    </w:p>
    <w:p w:rsidR="004E016E" w:rsidRPr="005F278F" w:rsidRDefault="004E016E" w:rsidP="00031E85">
      <w:pPr>
        <w:rPr>
          <w:rFonts w:ascii="Times New Roman" w:hAnsi="Times New Roman" w:cs="Times New Roman"/>
          <w:i/>
        </w:rPr>
      </w:pPr>
    </w:p>
    <w:p w:rsidR="004E016E" w:rsidRPr="005F278F" w:rsidRDefault="004E016E" w:rsidP="00031E85">
      <w:pPr>
        <w:rPr>
          <w:rFonts w:ascii="Times New Roman" w:hAnsi="Times New Roman" w:cs="Times New Roman"/>
          <w:i/>
        </w:rPr>
      </w:pPr>
    </w:p>
    <w:p w:rsidR="004E016E" w:rsidRPr="005F278F" w:rsidRDefault="004E016E" w:rsidP="00031E85">
      <w:pPr>
        <w:rPr>
          <w:rFonts w:ascii="Times New Roman" w:hAnsi="Times New Roman" w:cs="Times New Roman"/>
          <w:i/>
        </w:rPr>
      </w:pPr>
    </w:p>
    <w:p w:rsidR="00BC1ADB" w:rsidRPr="005F278F" w:rsidRDefault="00BC1ADB">
      <w:pPr>
        <w:rPr>
          <w:rFonts w:ascii="Times New Roman" w:hAnsi="Times New Roman" w:cs="Times New Roman"/>
          <w:b/>
        </w:rPr>
      </w:pPr>
      <w:r w:rsidRPr="005F278F">
        <w:rPr>
          <w:rFonts w:ascii="Times New Roman" w:hAnsi="Times New Roman" w:cs="Times New Roman"/>
          <w:b/>
        </w:rPr>
        <w:br w:type="page"/>
      </w:r>
    </w:p>
    <w:p w:rsidR="004E016E" w:rsidRPr="005F278F" w:rsidRDefault="004E016E" w:rsidP="00031E85">
      <w:pPr>
        <w:rPr>
          <w:rFonts w:ascii="Times New Roman" w:hAnsi="Times New Roman" w:cs="Times New Roman"/>
          <w:b/>
        </w:rPr>
      </w:pPr>
      <w:r w:rsidRPr="005F278F">
        <w:rPr>
          <w:rFonts w:ascii="Times New Roman" w:hAnsi="Times New Roman" w:cs="Times New Roman"/>
          <w:b/>
        </w:rPr>
        <w:lastRenderedPageBreak/>
        <w:t>Appendix 1 – Extract from the SORP on Service Concessions</w:t>
      </w:r>
    </w:p>
    <w:p w:rsidR="0076555B" w:rsidRPr="00692407" w:rsidRDefault="0076555B" w:rsidP="0076555B">
      <w:pPr>
        <w:pStyle w:val="Caption"/>
        <w:keepNext w:val="0"/>
        <w:keepLines w:val="0"/>
        <w:widowControl w:val="0"/>
      </w:pPr>
      <w:r w:rsidRPr="00692407">
        <w:t>Service concession arrangements</w:t>
      </w:r>
      <w:r>
        <w:t xml:space="preserve"> – where the institution is the grantor</w:t>
      </w:r>
    </w:p>
    <w:p w:rsidR="0076555B" w:rsidRPr="00234E46" w:rsidRDefault="0076555B" w:rsidP="0076555B">
      <w:pPr>
        <w:pStyle w:val="Heading2"/>
        <w:keepNext w:val="0"/>
        <w:widowControl w:val="0"/>
        <w:spacing w:after="120"/>
        <w:ind w:left="709" w:hanging="709"/>
        <w:rPr>
          <w:b w:val="0"/>
          <w:bCs/>
          <w:sz w:val="22"/>
          <w:lang w:eastAsia="en-GB"/>
        </w:rPr>
      </w:pPr>
      <w:r w:rsidRPr="00234E46">
        <w:rPr>
          <w:b w:val="0"/>
          <w:bCs/>
          <w:sz w:val="22"/>
          <w:lang w:eastAsia="en-GB"/>
        </w:rPr>
        <w:t xml:space="preserve">Section 34 of </w:t>
      </w:r>
      <w:r>
        <w:rPr>
          <w:b w:val="0"/>
          <w:bCs/>
          <w:sz w:val="22"/>
          <w:lang w:eastAsia="en-GB"/>
        </w:rPr>
        <w:t>FRS 102</w:t>
      </w:r>
      <w:r w:rsidRPr="00234E46">
        <w:rPr>
          <w:b w:val="0"/>
          <w:bCs/>
          <w:sz w:val="22"/>
          <w:lang w:eastAsia="en-GB"/>
        </w:rPr>
        <w:t xml:space="preserve"> deals with service concession a</w:t>
      </w:r>
      <w:r>
        <w:rPr>
          <w:b w:val="0"/>
          <w:bCs/>
          <w:sz w:val="22"/>
          <w:lang w:eastAsia="en-GB"/>
        </w:rPr>
        <w:t>rrangements. Institutions must</w:t>
      </w:r>
      <w:r w:rsidRPr="00234E46">
        <w:rPr>
          <w:b w:val="0"/>
          <w:bCs/>
          <w:sz w:val="22"/>
          <w:lang w:eastAsia="en-GB"/>
        </w:rPr>
        <w:t xml:space="preserve"> account for arrangements as set out below if: </w:t>
      </w:r>
    </w:p>
    <w:p w:rsidR="0076555B" w:rsidRPr="00465D61" w:rsidRDefault="0076555B" w:rsidP="0076555B">
      <w:pPr>
        <w:pStyle w:val="Text"/>
        <w:widowControl w:val="0"/>
        <w:numPr>
          <w:ilvl w:val="0"/>
          <w:numId w:val="27"/>
        </w:numPr>
        <w:tabs>
          <w:tab w:val="clear" w:pos="720"/>
        </w:tabs>
        <w:spacing w:after="120"/>
        <w:ind w:left="1276" w:hanging="283"/>
        <w:rPr>
          <w:color w:val="000000" w:themeColor="text1"/>
          <w:szCs w:val="22"/>
          <w:lang w:eastAsia="en-GB"/>
        </w:rPr>
      </w:pPr>
      <w:r w:rsidRPr="00465D61">
        <w:rPr>
          <w:color w:val="000000" w:themeColor="text1"/>
          <w:szCs w:val="22"/>
          <w:lang w:eastAsia="en-GB"/>
        </w:rPr>
        <w:t xml:space="preserve">an institution acts as principal in the arrangement; </w:t>
      </w:r>
    </w:p>
    <w:p w:rsidR="0076555B" w:rsidRPr="00465D61" w:rsidRDefault="0076555B" w:rsidP="0076555B">
      <w:pPr>
        <w:pStyle w:val="Text"/>
        <w:widowControl w:val="0"/>
        <w:numPr>
          <w:ilvl w:val="0"/>
          <w:numId w:val="27"/>
        </w:numPr>
        <w:tabs>
          <w:tab w:val="clear" w:pos="720"/>
        </w:tabs>
        <w:spacing w:after="120"/>
        <w:ind w:left="1276" w:hanging="283"/>
        <w:rPr>
          <w:color w:val="000000" w:themeColor="text1"/>
          <w:szCs w:val="22"/>
          <w:lang w:eastAsia="en-GB"/>
        </w:rPr>
      </w:pPr>
      <w:r w:rsidRPr="00465D61">
        <w:rPr>
          <w:color w:val="000000" w:themeColor="text1"/>
          <w:szCs w:val="22"/>
          <w:lang w:eastAsia="en-GB"/>
        </w:rPr>
        <w:t>an arrangement meets the definition of a service concession arrangement;</w:t>
      </w:r>
      <w:r>
        <w:rPr>
          <w:color w:val="000000" w:themeColor="text1"/>
          <w:szCs w:val="22"/>
          <w:lang w:eastAsia="en-GB"/>
        </w:rPr>
        <w:t xml:space="preserve"> and</w:t>
      </w:r>
    </w:p>
    <w:p w:rsidR="0076555B" w:rsidRPr="00465D61" w:rsidRDefault="0076555B" w:rsidP="0076555B">
      <w:pPr>
        <w:pStyle w:val="Text"/>
        <w:widowControl w:val="0"/>
        <w:numPr>
          <w:ilvl w:val="0"/>
          <w:numId w:val="27"/>
        </w:numPr>
        <w:tabs>
          <w:tab w:val="clear" w:pos="720"/>
        </w:tabs>
        <w:spacing w:after="120"/>
        <w:ind w:left="1276" w:hanging="283"/>
        <w:rPr>
          <w:color w:val="000000" w:themeColor="text1"/>
          <w:szCs w:val="22"/>
          <w:lang w:eastAsia="en-GB"/>
        </w:rPr>
      </w:pPr>
      <w:r w:rsidRPr="00465D61">
        <w:rPr>
          <w:color w:val="000000" w:themeColor="text1"/>
          <w:szCs w:val="22"/>
          <w:lang w:eastAsia="en-GB"/>
        </w:rPr>
        <w:t>the arrangement passe</w:t>
      </w:r>
      <w:r>
        <w:rPr>
          <w:color w:val="000000" w:themeColor="text1"/>
          <w:szCs w:val="22"/>
          <w:lang w:eastAsia="en-GB"/>
        </w:rPr>
        <w:t xml:space="preserve">s the control tests set out </w:t>
      </w:r>
      <w:r w:rsidRPr="00465D61">
        <w:rPr>
          <w:color w:val="000000" w:themeColor="text1"/>
          <w:szCs w:val="22"/>
          <w:lang w:eastAsia="en-GB"/>
        </w:rPr>
        <w:t xml:space="preserve">in </w:t>
      </w:r>
      <w:r>
        <w:rPr>
          <w:color w:val="000000" w:themeColor="text1"/>
          <w:szCs w:val="22"/>
          <w:lang w:eastAsia="en-GB"/>
        </w:rPr>
        <w:t>FRS 102.</w:t>
      </w:r>
    </w:p>
    <w:p w:rsidR="0076555B" w:rsidRDefault="0076555B" w:rsidP="0076555B">
      <w:pPr>
        <w:pStyle w:val="Heading2"/>
        <w:keepNext w:val="0"/>
        <w:widowControl w:val="0"/>
        <w:spacing w:after="120"/>
        <w:ind w:left="709" w:hanging="709"/>
        <w:rPr>
          <w:b w:val="0"/>
          <w:bCs/>
          <w:sz w:val="22"/>
          <w:lang w:eastAsia="en-GB"/>
        </w:rPr>
      </w:pPr>
      <w:r w:rsidRPr="00234E46">
        <w:rPr>
          <w:b w:val="0"/>
          <w:bCs/>
          <w:sz w:val="22"/>
          <w:lang w:eastAsia="en-GB"/>
        </w:rPr>
        <w:t>A decisions tree to assist with the identification of service conces</w:t>
      </w:r>
      <w:r>
        <w:rPr>
          <w:b w:val="0"/>
          <w:bCs/>
          <w:sz w:val="22"/>
          <w:lang w:eastAsia="en-GB"/>
        </w:rPr>
        <w:t>sion arrangements is set out at the end of this section</w:t>
      </w:r>
      <w:r w:rsidRPr="00234E46">
        <w:rPr>
          <w:b w:val="0"/>
          <w:bCs/>
          <w:sz w:val="22"/>
          <w:lang w:eastAsia="en-GB"/>
        </w:rPr>
        <w:t xml:space="preserve">. </w:t>
      </w:r>
    </w:p>
    <w:p w:rsidR="0076555B" w:rsidRDefault="0076555B" w:rsidP="0076555B">
      <w:pPr>
        <w:pStyle w:val="Heading6"/>
      </w:pPr>
      <w:r w:rsidRPr="00670169">
        <w:t xml:space="preserve">a) </w:t>
      </w:r>
      <w:r>
        <w:t xml:space="preserve">Is </w:t>
      </w:r>
      <w:r w:rsidRPr="00670169">
        <w:t>the institution acting as principal within the arrangement?</w:t>
      </w:r>
    </w:p>
    <w:p w:rsidR="0076555B" w:rsidRDefault="0076555B" w:rsidP="0076555B">
      <w:pPr>
        <w:pStyle w:val="Heading2"/>
        <w:keepNext w:val="0"/>
        <w:widowControl w:val="0"/>
        <w:spacing w:after="120"/>
        <w:ind w:left="709" w:hanging="709"/>
        <w:rPr>
          <w:b w:val="0"/>
          <w:bCs/>
          <w:sz w:val="22"/>
          <w:lang w:eastAsia="en-GB"/>
        </w:rPr>
      </w:pPr>
      <w:r w:rsidRPr="00D85B3E">
        <w:rPr>
          <w:b w:val="0"/>
          <w:bCs/>
          <w:sz w:val="22"/>
          <w:lang w:eastAsia="en-GB"/>
        </w:rPr>
        <w:t xml:space="preserve">Institutions should consider whether such arrangements result in an agent or principal arrangement. </w:t>
      </w:r>
      <w:r>
        <w:rPr>
          <w:b w:val="0"/>
          <w:bCs/>
          <w:sz w:val="22"/>
          <w:lang w:eastAsia="en-GB"/>
        </w:rPr>
        <w:t xml:space="preserve"> </w:t>
      </w:r>
      <w:r w:rsidRPr="00D85B3E">
        <w:rPr>
          <w:b w:val="0"/>
          <w:bCs/>
          <w:sz w:val="22"/>
          <w:lang w:eastAsia="en-GB"/>
        </w:rPr>
        <w:t xml:space="preserve">Where the institution is responsible for an annual unitary payment, such as within a private finance initiative, the institution will be the principal. </w:t>
      </w:r>
    </w:p>
    <w:p w:rsidR="0076555B" w:rsidRPr="00771122" w:rsidRDefault="0076555B" w:rsidP="0076555B">
      <w:pPr>
        <w:pStyle w:val="Heading2"/>
        <w:keepNext w:val="0"/>
        <w:widowControl w:val="0"/>
        <w:spacing w:after="120"/>
        <w:ind w:left="709" w:hanging="709"/>
        <w:rPr>
          <w:b w:val="0"/>
          <w:bCs/>
          <w:sz w:val="22"/>
          <w:lang w:eastAsia="en-GB"/>
        </w:rPr>
      </w:pPr>
      <w:r w:rsidRPr="00771122">
        <w:rPr>
          <w:b w:val="0"/>
          <w:bCs/>
          <w:sz w:val="22"/>
          <w:lang w:eastAsia="en-GB"/>
        </w:rPr>
        <w:t>Residence arrangements where the institution takes the student debt and void risk</w:t>
      </w:r>
      <w:r>
        <w:rPr>
          <w:b w:val="0"/>
          <w:bCs/>
          <w:sz w:val="22"/>
          <w:lang w:eastAsia="en-GB"/>
        </w:rPr>
        <w:t>,</w:t>
      </w:r>
      <w:r w:rsidRPr="00771122">
        <w:rPr>
          <w:b w:val="0"/>
          <w:bCs/>
          <w:sz w:val="22"/>
          <w:lang w:eastAsia="en-GB"/>
        </w:rPr>
        <w:t xml:space="preserve"> on</w:t>
      </w:r>
      <w:r>
        <w:rPr>
          <w:b w:val="0"/>
          <w:bCs/>
          <w:sz w:val="22"/>
          <w:lang w:eastAsia="en-GB"/>
        </w:rPr>
        <w:t xml:space="preserve"> each</w:t>
      </w:r>
      <w:r w:rsidRPr="00771122">
        <w:rPr>
          <w:b w:val="0"/>
          <w:bCs/>
          <w:sz w:val="22"/>
          <w:lang w:eastAsia="en-GB"/>
        </w:rPr>
        <w:t xml:space="preserve"> student rental agreement, will result in the institution acting as a principal rather than as an agent and therefore recognising revenue received from the students gross of payments to the operator. If an institution has made a guarantee through a minimum occupancy guarantee then it will be the principal in such arrangements. An arrangement under which the institution acts as agent will be outside the scope of service concession arrangements.</w:t>
      </w:r>
    </w:p>
    <w:p w:rsidR="0076555B" w:rsidRPr="00465D61" w:rsidRDefault="0076555B" w:rsidP="0076555B">
      <w:pPr>
        <w:pStyle w:val="Heading6"/>
      </w:pPr>
      <w:r>
        <w:t xml:space="preserve">b) </w:t>
      </w:r>
      <w:r w:rsidRPr="00465D61">
        <w:t>Does an arrangement meet the definition of a service concession arrangement?</w:t>
      </w:r>
    </w:p>
    <w:p w:rsidR="0076555B" w:rsidRPr="00D85B3E" w:rsidRDefault="0076555B" w:rsidP="0076555B">
      <w:pPr>
        <w:pStyle w:val="Heading2"/>
        <w:keepNext w:val="0"/>
        <w:widowControl w:val="0"/>
        <w:spacing w:after="120"/>
        <w:ind w:left="709" w:hanging="709"/>
        <w:rPr>
          <w:b w:val="0"/>
          <w:bCs/>
          <w:sz w:val="22"/>
          <w:lang w:eastAsia="en-GB"/>
        </w:rPr>
      </w:pPr>
      <w:r w:rsidRPr="00D85B3E">
        <w:rPr>
          <w:b w:val="0"/>
          <w:bCs/>
          <w:sz w:val="22"/>
          <w:lang w:eastAsia="en-GB"/>
        </w:rPr>
        <w:t xml:space="preserve">A service concession arrangement typically involves a third party constructing the infrastructure used to provide the public service or to upgrade it, and operate and maintain it for a specified period of time. In return the </w:t>
      </w:r>
      <w:r>
        <w:rPr>
          <w:b w:val="0"/>
          <w:bCs/>
          <w:sz w:val="22"/>
          <w:lang w:eastAsia="en-GB"/>
        </w:rPr>
        <w:t>third party</w:t>
      </w:r>
      <w:r w:rsidRPr="00D85B3E">
        <w:rPr>
          <w:b w:val="0"/>
          <w:bCs/>
          <w:sz w:val="22"/>
          <w:lang w:eastAsia="en-GB"/>
        </w:rPr>
        <w:t xml:space="preserve"> entity is paid for its services over the period, and during this period the arrangement is governed by a contract, clearly setting out performance standards.</w:t>
      </w:r>
    </w:p>
    <w:p w:rsidR="0076555B" w:rsidRPr="00D85B3E" w:rsidRDefault="0076555B" w:rsidP="0076555B">
      <w:pPr>
        <w:pStyle w:val="Heading2"/>
        <w:keepNext w:val="0"/>
        <w:widowControl w:val="0"/>
        <w:spacing w:after="120"/>
        <w:ind w:left="709" w:hanging="709"/>
        <w:rPr>
          <w:b w:val="0"/>
          <w:bCs/>
          <w:sz w:val="22"/>
          <w:lang w:eastAsia="en-GB"/>
        </w:rPr>
      </w:pPr>
      <w:r w:rsidRPr="00D85B3E">
        <w:rPr>
          <w:b w:val="0"/>
          <w:bCs/>
          <w:sz w:val="22"/>
          <w:lang w:eastAsia="en-GB"/>
        </w:rPr>
        <w:t>T</w:t>
      </w:r>
      <w:r>
        <w:rPr>
          <w:b w:val="0"/>
          <w:bCs/>
          <w:sz w:val="22"/>
          <w:lang w:eastAsia="en-GB"/>
        </w:rPr>
        <w:t>ypical features of service concessions include</w:t>
      </w:r>
      <w:r w:rsidRPr="00D85B3E">
        <w:rPr>
          <w:b w:val="0"/>
          <w:bCs/>
          <w:sz w:val="22"/>
          <w:lang w:eastAsia="en-GB"/>
        </w:rPr>
        <w:t>:</w:t>
      </w:r>
    </w:p>
    <w:p w:rsidR="0076555B" w:rsidRDefault="0076555B" w:rsidP="0076555B">
      <w:pPr>
        <w:pStyle w:val="Bullet"/>
        <w:tabs>
          <w:tab w:val="num" w:pos="1276"/>
        </w:tabs>
        <w:spacing w:after="120"/>
        <w:ind w:left="1276" w:hanging="283"/>
      </w:pPr>
      <w:r>
        <w:t>t</w:t>
      </w:r>
      <w:r w:rsidRPr="00465D61">
        <w:t>he procuring entity, the grantor</w:t>
      </w:r>
      <w:r>
        <w:t xml:space="preserve">, </w:t>
      </w:r>
      <w:r w:rsidRPr="00465D61">
        <w:t>is normally a public sector body or public benefit entity</w:t>
      </w:r>
      <w:r>
        <w:t>;</w:t>
      </w:r>
    </w:p>
    <w:p w:rsidR="0076555B" w:rsidRPr="00465D61" w:rsidRDefault="0076555B" w:rsidP="0076555B">
      <w:pPr>
        <w:pStyle w:val="Bullet"/>
        <w:tabs>
          <w:tab w:val="num" w:pos="1276"/>
        </w:tabs>
        <w:spacing w:after="120"/>
        <w:ind w:left="1276" w:hanging="283"/>
      </w:pPr>
      <w:r w:rsidRPr="00465D61">
        <w:t xml:space="preserve">the </w:t>
      </w:r>
      <w:r>
        <w:t>operator</w:t>
      </w:r>
      <w:r w:rsidRPr="00465D61">
        <w:t xml:space="preserve"> is </w:t>
      </w:r>
      <w:r>
        <w:t>constructing or upgrading infrastructure assets used to deliver services to the</w:t>
      </w:r>
      <w:r w:rsidRPr="00465D61">
        <w:t xml:space="preserve"> public</w:t>
      </w:r>
      <w:r>
        <w:t>;</w:t>
      </w:r>
    </w:p>
    <w:p w:rsidR="0076555B" w:rsidRPr="00465D61" w:rsidRDefault="0076555B" w:rsidP="0076555B">
      <w:pPr>
        <w:pStyle w:val="Bullet"/>
        <w:tabs>
          <w:tab w:val="num" w:pos="1276"/>
        </w:tabs>
        <w:spacing w:after="120"/>
        <w:ind w:left="1276" w:hanging="283"/>
      </w:pPr>
      <w:r>
        <w:t>a</w:t>
      </w:r>
      <w:r w:rsidRPr="00465D61">
        <w:t>n infrastructure asset is provided</w:t>
      </w:r>
      <w:r>
        <w:t xml:space="preserve"> by a third party operator</w:t>
      </w:r>
      <w:r w:rsidRPr="00465D61">
        <w:t>;</w:t>
      </w:r>
    </w:p>
    <w:p w:rsidR="0076555B" w:rsidRPr="00465D61" w:rsidRDefault="0076555B" w:rsidP="0076555B">
      <w:pPr>
        <w:pStyle w:val="Bullet"/>
        <w:tabs>
          <w:tab w:val="num" w:pos="1276"/>
        </w:tabs>
        <w:spacing w:after="120"/>
        <w:ind w:left="1276" w:hanging="283"/>
      </w:pPr>
      <w:r>
        <w:t>t</w:t>
      </w:r>
      <w:r w:rsidRPr="00D552CB">
        <w:t>he operator is responsible for managing at least s</w:t>
      </w:r>
      <w:r>
        <w:t>ome of the assets and services, and is not merely an agent</w:t>
      </w:r>
      <w:r w:rsidRPr="00D552CB">
        <w:t>;</w:t>
      </w:r>
    </w:p>
    <w:p w:rsidR="0076555B" w:rsidRPr="00465D61" w:rsidRDefault="0076555B" w:rsidP="0076555B">
      <w:pPr>
        <w:pStyle w:val="Bullet"/>
        <w:tabs>
          <w:tab w:val="num" w:pos="1276"/>
        </w:tabs>
        <w:spacing w:after="120"/>
        <w:ind w:left="1276" w:hanging="283"/>
      </w:pPr>
      <w:r>
        <w:t>t</w:t>
      </w:r>
      <w:r w:rsidRPr="00465D61">
        <w:t>he contract sets out initial price and the mechanism through which future prices are to be set or regulated;</w:t>
      </w:r>
      <w:r>
        <w:t xml:space="preserve"> and</w:t>
      </w:r>
    </w:p>
    <w:p w:rsidR="0076555B" w:rsidRPr="0079230D" w:rsidRDefault="0076555B" w:rsidP="0076555B">
      <w:pPr>
        <w:pStyle w:val="Bullet"/>
        <w:tabs>
          <w:tab w:val="num" w:pos="1276"/>
        </w:tabs>
        <w:spacing w:after="120"/>
        <w:ind w:left="1276" w:hanging="283"/>
      </w:pPr>
      <w:r>
        <w:t>t</w:t>
      </w:r>
      <w:r w:rsidRPr="00465D61">
        <w:t>he operator is obliged to transfer the asset to the public benefit entity at the end of the contract, in a specified condition for little or no additional consideration.</w:t>
      </w:r>
    </w:p>
    <w:p w:rsidR="0076555B" w:rsidRPr="00D85B3E" w:rsidRDefault="0076555B" w:rsidP="0076555B">
      <w:pPr>
        <w:pStyle w:val="Heading2"/>
        <w:keepNext w:val="0"/>
        <w:widowControl w:val="0"/>
        <w:spacing w:after="120"/>
        <w:ind w:left="709" w:hanging="709"/>
        <w:rPr>
          <w:b w:val="0"/>
          <w:bCs/>
          <w:sz w:val="22"/>
          <w:lang w:eastAsia="en-GB"/>
        </w:rPr>
      </w:pPr>
      <w:r w:rsidRPr="00D85B3E">
        <w:rPr>
          <w:b w:val="0"/>
          <w:bCs/>
          <w:sz w:val="22"/>
          <w:lang w:eastAsia="en-GB"/>
        </w:rPr>
        <w:t xml:space="preserve">There are a number of arrangements within the FE and HE sector which are expected to meet the definition of a service concession arrangement with the institution acting as grantor. This would include Private </w:t>
      </w:r>
      <w:r>
        <w:rPr>
          <w:b w:val="0"/>
          <w:bCs/>
          <w:sz w:val="22"/>
          <w:lang w:eastAsia="en-GB"/>
        </w:rPr>
        <w:t>Finance Initiative schemes and many</w:t>
      </w:r>
      <w:r w:rsidRPr="00D85B3E">
        <w:rPr>
          <w:b w:val="0"/>
          <w:bCs/>
          <w:sz w:val="22"/>
          <w:lang w:eastAsia="en-GB"/>
        </w:rPr>
        <w:t xml:space="preserve"> residence arrangements.</w:t>
      </w:r>
    </w:p>
    <w:p w:rsidR="0076555B" w:rsidRPr="00D85B3E" w:rsidRDefault="0076555B" w:rsidP="0076555B">
      <w:pPr>
        <w:pStyle w:val="Heading2"/>
        <w:keepNext w:val="0"/>
        <w:widowControl w:val="0"/>
        <w:spacing w:after="120"/>
        <w:ind w:left="709" w:hanging="709"/>
        <w:rPr>
          <w:b w:val="0"/>
          <w:bCs/>
          <w:sz w:val="22"/>
          <w:lang w:eastAsia="en-GB"/>
        </w:rPr>
      </w:pPr>
      <w:r w:rsidRPr="00D85B3E">
        <w:rPr>
          <w:b w:val="0"/>
          <w:bCs/>
          <w:sz w:val="22"/>
          <w:lang w:eastAsia="en-GB"/>
        </w:rPr>
        <w:t>Student residence arrangements are likely to provide infrastructure for public service in this context, as such assets support the delivery of education for social benefit. This is supported by the charitable status</w:t>
      </w:r>
      <w:r>
        <w:rPr>
          <w:b w:val="0"/>
          <w:bCs/>
          <w:sz w:val="22"/>
          <w:lang w:eastAsia="en-GB"/>
        </w:rPr>
        <w:t xml:space="preserve"> and public benefit obligations</w:t>
      </w:r>
      <w:r w:rsidRPr="00D85B3E">
        <w:rPr>
          <w:b w:val="0"/>
          <w:bCs/>
          <w:sz w:val="22"/>
          <w:lang w:eastAsia="en-GB"/>
        </w:rPr>
        <w:t xml:space="preserve"> of institutions. The definition of an infrastructure asset includes but is not limited to accommodation, teaching facilities, research </w:t>
      </w:r>
      <w:r w:rsidRPr="00D85B3E">
        <w:rPr>
          <w:b w:val="0"/>
          <w:bCs/>
          <w:sz w:val="22"/>
          <w:lang w:eastAsia="en-GB"/>
        </w:rPr>
        <w:lastRenderedPageBreak/>
        <w:t>facilities, fixed assets for management and administration purposes and major equipment.</w:t>
      </w:r>
    </w:p>
    <w:p w:rsidR="0076555B" w:rsidRPr="004A5525" w:rsidRDefault="0076555B" w:rsidP="0076555B">
      <w:pPr>
        <w:pStyle w:val="Heading6"/>
      </w:pPr>
      <w:r>
        <w:t xml:space="preserve">c) </w:t>
      </w:r>
      <w:r w:rsidRPr="004A5525">
        <w:t>Does the arrangement pass the control te</w:t>
      </w:r>
      <w:r>
        <w:t>sts as set out in FRS 102</w:t>
      </w:r>
      <w:r w:rsidRPr="004A5525">
        <w:t>?</w:t>
      </w:r>
    </w:p>
    <w:p w:rsidR="0076555B" w:rsidRPr="007C32DC" w:rsidRDefault="0076555B" w:rsidP="0076555B">
      <w:pPr>
        <w:pStyle w:val="Heading2"/>
        <w:keepNext w:val="0"/>
        <w:widowControl w:val="0"/>
        <w:spacing w:after="120"/>
        <w:ind w:left="709" w:hanging="709"/>
        <w:rPr>
          <w:b w:val="0"/>
          <w:bCs/>
          <w:sz w:val="22"/>
          <w:lang w:eastAsia="en-GB"/>
        </w:rPr>
      </w:pPr>
      <w:r w:rsidRPr="00D85B3E">
        <w:rPr>
          <w:b w:val="0"/>
          <w:bCs/>
          <w:sz w:val="22"/>
          <w:lang w:eastAsia="en-GB"/>
        </w:rPr>
        <w:t>The arrangement is deemed to be in scope if it passes all of the following tests of control:</w:t>
      </w:r>
    </w:p>
    <w:p w:rsidR="0076555B" w:rsidRDefault="0076555B" w:rsidP="0076555B">
      <w:pPr>
        <w:pStyle w:val="Numbering"/>
        <w:widowControl w:val="0"/>
        <w:numPr>
          <w:ilvl w:val="1"/>
          <w:numId w:val="45"/>
        </w:numPr>
        <w:tabs>
          <w:tab w:val="clear" w:pos="284"/>
        </w:tabs>
        <w:ind w:hanging="360"/>
        <w:rPr>
          <w:lang w:eastAsia="en-GB"/>
        </w:rPr>
      </w:pPr>
      <w:r w:rsidRPr="004A5525">
        <w:rPr>
          <w:lang w:eastAsia="en-GB"/>
        </w:rPr>
        <w:t xml:space="preserve">The grantor must control or regulate the infrastructure services </w:t>
      </w:r>
      <w:r>
        <w:rPr>
          <w:lang w:eastAsia="en-GB"/>
        </w:rPr>
        <w:t xml:space="preserve">that </w:t>
      </w:r>
      <w:r w:rsidRPr="004A5525">
        <w:rPr>
          <w:lang w:eastAsia="en-GB"/>
        </w:rPr>
        <w:t>the operator must provide wit</w:t>
      </w:r>
      <w:r>
        <w:rPr>
          <w:lang w:eastAsia="en-GB"/>
        </w:rPr>
        <w:t>h the infrastructure, to whom the operator</w:t>
      </w:r>
      <w:r w:rsidRPr="004A5525">
        <w:rPr>
          <w:lang w:eastAsia="en-GB"/>
        </w:rPr>
        <w:t xml:space="preserve"> must provide them and at what price. </w:t>
      </w:r>
    </w:p>
    <w:p w:rsidR="0076555B" w:rsidRDefault="0076555B" w:rsidP="0076555B">
      <w:pPr>
        <w:pStyle w:val="Numbering"/>
        <w:widowControl w:val="0"/>
        <w:numPr>
          <w:ilvl w:val="1"/>
          <w:numId w:val="45"/>
        </w:numPr>
        <w:tabs>
          <w:tab w:val="clear" w:pos="284"/>
        </w:tabs>
        <w:ind w:hanging="360"/>
        <w:rPr>
          <w:lang w:eastAsia="en-GB"/>
        </w:rPr>
      </w:pPr>
      <w:r w:rsidRPr="00E33533">
        <w:rPr>
          <w:color w:val="000000" w:themeColor="text1"/>
          <w:szCs w:val="22"/>
          <w:lang w:eastAsia="en-GB"/>
        </w:rPr>
        <w:t xml:space="preserve">The grantor must control any significant residual interest, through beneficial entitlement or otherwise, in the infrastructure at the end of the term of the arrangement. </w:t>
      </w:r>
      <w:r>
        <w:rPr>
          <w:color w:val="000000" w:themeColor="text1"/>
          <w:szCs w:val="22"/>
          <w:lang w:eastAsia="en-GB"/>
        </w:rPr>
        <w:t>Where an asset has no significant residual interest, for example because the arrangement is for substantially the life of the asset, then test “b” does not apply and instead the arrangement is within scope of test “a” alone is met.</w:t>
      </w:r>
      <w:r w:rsidRPr="00E33533">
        <w:rPr>
          <w:color w:val="000000" w:themeColor="text1"/>
          <w:szCs w:val="22"/>
          <w:lang w:eastAsia="en-GB"/>
        </w:rPr>
        <w:t xml:space="preserve"> </w:t>
      </w:r>
    </w:p>
    <w:p w:rsidR="0076555B" w:rsidRPr="00692407" w:rsidRDefault="0076555B" w:rsidP="0076555B">
      <w:pPr>
        <w:pStyle w:val="Caption"/>
        <w:keepNext w:val="0"/>
        <w:keepLines w:val="0"/>
        <w:widowControl w:val="0"/>
      </w:pPr>
      <w:r w:rsidRPr="00692407">
        <w:t>Accounting for service concession arrangements</w:t>
      </w:r>
    </w:p>
    <w:p w:rsidR="0076555B" w:rsidRPr="00813430" w:rsidRDefault="0076555B" w:rsidP="0076555B">
      <w:pPr>
        <w:pStyle w:val="Heading2"/>
        <w:keepNext w:val="0"/>
        <w:widowControl w:val="0"/>
        <w:spacing w:after="120"/>
        <w:ind w:left="709" w:hanging="709"/>
        <w:rPr>
          <w:b w:val="0"/>
          <w:bCs/>
          <w:sz w:val="22"/>
          <w:lang w:eastAsia="en-GB"/>
        </w:rPr>
      </w:pPr>
      <w:r w:rsidRPr="00D85B3E">
        <w:rPr>
          <w:b w:val="0"/>
          <w:bCs/>
          <w:sz w:val="22"/>
          <w:lang w:eastAsia="en-GB"/>
        </w:rPr>
        <w:t xml:space="preserve">If the above considerations are all met the arrangement </w:t>
      </w:r>
      <w:r>
        <w:rPr>
          <w:b w:val="0"/>
          <w:bCs/>
          <w:sz w:val="22"/>
          <w:lang w:eastAsia="en-GB"/>
        </w:rPr>
        <w:t xml:space="preserve">must </w:t>
      </w:r>
      <w:r w:rsidRPr="00D85B3E">
        <w:rPr>
          <w:b w:val="0"/>
          <w:bCs/>
          <w:sz w:val="22"/>
          <w:lang w:eastAsia="en-GB"/>
        </w:rPr>
        <w:t>be</w:t>
      </w:r>
      <w:r>
        <w:rPr>
          <w:b w:val="0"/>
          <w:bCs/>
          <w:sz w:val="22"/>
          <w:lang w:eastAsia="en-GB"/>
        </w:rPr>
        <w:t xml:space="preserve"> accounted for, in accordance with the leasing requirements of FRS102, </w:t>
      </w:r>
      <w:r w:rsidRPr="00D85B3E">
        <w:rPr>
          <w:b w:val="0"/>
          <w:bCs/>
          <w:sz w:val="22"/>
          <w:lang w:eastAsia="en-GB"/>
        </w:rPr>
        <w:t xml:space="preserve">as follows: </w:t>
      </w:r>
    </w:p>
    <w:p w:rsidR="0076555B" w:rsidRDefault="0076555B" w:rsidP="0076555B">
      <w:pPr>
        <w:pStyle w:val="Heading2"/>
        <w:keepNext w:val="0"/>
        <w:widowControl w:val="0"/>
        <w:spacing w:after="120"/>
        <w:ind w:left="709" w:hanging="709"/>
        <w:rPr>
          <w:b w:val="0"/>
          <w:bCs/>
          <w:sz w:val="22"/>
          <w:lang w:eastAsia="en-GB"/>
        </w:rPr>
      </w:pPr>
      <w:r>
        <w:rPr>
          <w:b w:val="0"/>
          <w:bCs/>
          <w:sz w:val="22"/>
          <w:lang w:eastAsia="en-GB"/>
        </w:rPr>
        <w:t>Institutions must</w:t>
      </w:r>
      <w:r w:rsidRPr="00D85B3E">
        <w:rPr>
          <w:b w:val="0"/>
          <w:bCs/>
          <w:sz w:val="22"/>
          <w:lang w:eastAsia="en-GB"/>
        </w:rPr>
        <w:t xml:space="preserve"> determine whether scheme revenues are generated from thi</w:t>
      </w:r>
      <w:r>
        <w:rPr>
          <w:b w:val="0"/>
          <w:bCs/>
          <w:sz w:val="22"/>
          <w:lang w:eastAsia="en-GB"/>
        </w:rPr>
        <w:t>rd parties, for example where the institution is acting as agent to the student rental income</w:t>
      </w:r>
      <w:r w:rsidRPr="00D85B3E">
        <w:rPr>
          <w:b w:val="0"/>
          <w:bCs/>
          <w:sz w:val="22"/>
          <w:lang w:eastAsia="en-GB"/>
        </w:rPr>
        <w:t>, or</w:t>
      </w:r>
      <w:r>
        <w:rPr>
          <w:b w:val="0"/>
          <w:bCs/>
          <w:sz w:val="22"/>
          <w:lang w:eastAsia="en-GB"/>
        </w:rPr>
        <w:t xml:space="preserve"> by payments made by the institutions</w:t>
      </w:r>
      <w:r w:rsidRPr="00D85B3E">
        <w:rPr>
          <w:b w:val="0"/>
          <w:bCs/>
          <w:sz w:val="22"/>
          <w:lang w:eastAsia="en-GB"/>
        </w:rPr>
        <w:t xml:space="preserve"> to the operator. </w:t>
      </w:r>
    </w:p>
    <w:p w:rsidR="0076555B" w:rsidRPr="00D85B3E" w:rsidRDefault="0076555B" w:rsidP="0076555B">
      <w:pPr>
        <w:pStyle w:val="Heading2"/>
        <w:keepNext w:val="0"/>
        <w:widowControl w:val="0"/>
        <w:spacing w:after="120"/>
        <w:ind w:left="709" w:hanging="709"/>
        <w:rPr>
          <w:b w:val="0"/>
          <w:bCs/>
          <w:sz w:val="22"/>
          <w:lang w:eastAsia="en-GB"/>
        </w:rPr>
      </w:pPr>
      <w:r w:rsidRPr="00D85B3E">
        <w:rPr>
          <w:b w:val="0"/>
          <w:bCs/>
          <w:sz w:val="22"/>
          <w:lang w:eastAsia="en-GB"/>
        </w:rPr>
        <w:t>Where the arrangement involves only payments by third parties the institution will have no liabilities or assets to account for</w:t>
      </w:r>
      <w:r>
        <w:rPr>
          <w:b w:val="0"/>
          <w:bCs/>
          <w:sz w:val="22"/>
          <w:lang w:eastAsia="en-GB"/>
        </w:rPr>
        <w:t xml:space="preserve"> relating to third party payments</w:t>
      </w:r>
      <w:r w:rsidRPr="00D85B3E">
        <w:rPr>
          <w:b w:val="0"/>
          <w:bCs/>
          <w:sz w:val="22"/>
          <w:lang w:eastAsia="en-GB"/>
        </w:rPr>
        <w:t>.</w:t>
      </w:r>
      <w:r>
        <w:rPr>
          <w:b w:val="0"/>
          <w:bCs/>
          <w:sz w:val="22"/>
          <w:lang w:eastAsia="en-GB"/>
        </w:rPr>
        <w:t xml:space="preserve"> Under this scenario the institution must recognise as asset and liability for any requirement to purchase the asset at the end of the arrangement or any option to do so that is reasonably certain to be exercised. </w:t>
      </w:r>
    </w:p>
    <w:p w:rsidR="0076555B" w:rsidRPr="00D85B3E" w:rsidRDefault="0076555B" w:rsidP="0076555B">
      <w:pPr>
        <w:pStyle w:val="Heading2"/>
        <w:keepNext w:val="0"/>
        <w:widowControl w:val="0"/>
        <w:spacing w:after="120"/>
        <w:ind w:left="709" w:hanging="709"/>
        <w:rPr>
          <w:b w:val="0"/>
          <w:bCs/>
          <w:sz w:val="22"/>
          <w:lang w:eastAsia="en-GB"/>
        </w:rPr>
      </w:pPr>
      <w:r w:rsidRPr="00D85B3E">
        <w:rPr>
          <w:b w:val="0"/>
          <w:bCs/>
          <w:sz w:val="22"/>
          <w:lang w:eastAsia="en-GB"/>
        </w:rPr>
        <w:t>An arrangement is accounted for as a service concession arrangement where the payment mechanism provides for the grantor to make minimum</w:t>
      </w:r>
      <w:r>
        <w:rPr>
          <w:b w:val="0"/>
          <w:bCs/>
          <w:sz w:val="22"/>
          <w:lang w:eastAsia="en-GB"/>
        </w:rPr>
        <w:t xml:space="preserve"> lease</w:t>
      </w:r>
      <w:r w:rsidRPr="00D85B3E">
        <w:rPr>
          <w:b w:val="0"/>
          <w:bCs/>
          <w:sz w:val="22"/>
          <w:lang w:eastAsia="en-GB"/>
        </w:rPr>
        <w:t xml:space="preserve"> payments to the operator. This could be through a contracted unitary payment or a minimum occupancy guarantee</w:t>
      </w:r>
      <w:r>
        <w:rPr>
          <w:b w:val="0"/>
          <w:bCs/>
          <w:sz w:val="22"/>
          <w:lang w:eastAsia="en-GB"/>
        </w:rPr>
        <w:t xml:space="preserve"> or a nominations agreement</w:t>
      </w:r>
      <w:r w:rsidRPr="00D85B3E">
        <w:rPr>
          <w:b w:val="0"/>
          <w:bCs/>
          <w:sz w:val="22"/>
          <w:lang w:eastAsia="en-GB"/>
        </w:rPr>
        <w:t>.</w:t>
      </w:r>
    </w:p>
    <w:p w:rsidR="0076555B" w:rsidRDefault="0076555B" w:rsidP="0076555B">
      <w:pPr>
        <w:pStyle w:val="Heading2"/>
        <w:keepNext w:val="0"/>
        <w:widowControl w:val="0"/>
        <w:spacing w:after="120"/>
        <w:ind w:left="709" w:hanging="709"/>
        <w:rPr>
          <w:b w:val="0"/>
          <w:bCs/>
          <w:sz w:val="22"/>
          <w:lang w:eastAsia="en-GB"/>
        </w:rPr>
      </w:pPr>
      <w:r w:rsidRPr="00D85B3E">
        <w:rPr>
          <w:b w:val="0"/>
          <w:bCs/>
          <w:sz w:val="22"/>
          <w:lang w:eastAsia="en-GB"/>
        </w:rPr>
        <w:t xml:space="preserve">Arrangements that involve renewable nominations rights </w:t>
      </w:r>
      <w:r>
        <w:rPr>
          <w:b w:val="0"/>
          <w:bCs/>
          <w:sz w:val="22"/>
          <w:lang w:eastAsia="en-GB"/>
        </w:rPr>
        <w:t>will have a guaranteed minimum payment liability equivalent to any outstanding nominations agreed at the balance sheet date.</w:t>
      </w:r>
    </w:p>
    <w:p w:rsidR="0076555B" w:rsidRPr="00692407" w:rsidRDefault="0076555B" w:rsidP="0076555B">
      <w:pPr>
        <w:pStyle w:val="Heading6"/>
      </w:pPr>
      <w:r w:rsidRPr="00692407">
        <w:t>Initial recognition</w:t>
      </w:r>
    </w:p>
    <w:p w:rsidR="0076555B" w:rsidRPr="00CD1B6C" w:rsidRDefault="0076555B" w:rsidP="0076555B">
      <w:pPr>
        <w:pStyle w:val="Heading2"/>
        <w:keepNext w:val="0"/>
        <w:widowControl w:val="0"/>
        <w:spacing w:after="120"/>
        <w:ind w:left="709" w:hanging="709"/>
        <w:rPr>
          <w:b w:val="0"/>
          <w:bCs/>
          <w:sz w:val="22"/>
          <w:lang w:eastAsia="en-GB"/>
        </w:rPr>
      </w:pPr>
      <w:r w:rsidRPr="00D85B3E">
        <w:rPr>
          <w:b w:val="0"/>
          <w:bCs/>
          <w:sz w:val="22"/>
          <w:lang w:eastAsia="en-GB"/>
        </w:rPr>
        <w:t xml:space="preserve">Infrastructure should be recognised as </w:t>
      </w:r>
      <w:r>
        <w:rPr>
          <w:b w:val="0"/>
          <w:bCs/>
          <w:sz w:val="22"/>
          <w:lang w:eastAsia="en-GB"/>
        </w:rPr>
        <w:t>fixed assets</w:t>
      </w:r>
      <w:r w:rsidRPr="00D85B3E">
        <w:rPr>
          <w:b w:val="0"/>
          <w:bCs/>
          <w:sz w:val="22"/>
          <w:lang w:eastAsia="en-GB"/>
        </w:rPr>
        <w:t xml:space="preserve"> of the institution because it has the right to control the use of the infrastructure. A related liability should be recognised at the same time within creditors allocated between creditors greater than or less than one year.</w:t>
      </w:r>
    </w:p>
    <w:p w:rsidR="0076555B" w:rsidRPr="00692407" w:rsidRDefault="0076555B" w:rsidP="0076555B">
      <w:pPr>
        <w:pStyle w:val="Heading2"/>
        <w:keepNext w:val="0"/>
        <w:widowControl w:val="0"/>
        <w:spacing w:after="120"/>
        <w:ind w:left="709" w:hanging="709"/>
        <w:rPr>
          <w:lang w:eastAsia="en-GB"/>
        </w:rPr>
      </w:pPr>
      <w:r w:rsidRPr="00D85B3E">
        <w:rPr>
          <w:b w:val="0"/>
          <w:bCs/>
          <w:sz w:val="22"/>
          <w:lang w:eastAsia="en-GB"/>
        </w:rPr>
        <w:t xml:space="preserve">The infrastructure and related liability should be recognised at the point that </w:t>
      </w:r>
      <w:r>
        <w:rPr>
          <w:b w:val="0"/>
          <w:bCs/>
          <w:sz w:val="22"/>
          <w:lang w:eastAsia="en-GB"/>
        </w:rPr>
        <w:t>the institution assumes the guarantee – for example when an institution nominates a number of rooms.</w:t>
      </w:r>
    </w:p>
    <w:p w:rsidR="0076555B" w:rsidRDefault="0076555B" w:rsidP="0076555B">
      <w:pPr>
        <w:pStyle w:val="Heading2"/>
        <w:keepNext w:val="0"/>
        <w:widowControl w:val="0"/>
        <w:spacing w:before="120" w:after="120"/>
        <w:ind w:left="709" w:hanging="709"/>
        <w:rPr>
          <w:b w:val="0"/>
          <w:bCs/>
          <w:sz w:val="22"/>
          <w:lang w:eastAsia="en-GB"/>
        </w:rPr>
      </w:pPr>
      <w:r w:rsidRPr="00D85B3E">
        <w:rPr>
          <w:b w:val="0"/>
          <w:bCs/>
          <w:sz w:val="22"/>
          <w:lang w:eastAsia="en-GB"/>
        </w:rPr>
        <w:t xml:space="preserve">Where the operator enhances infrastructure already recognised on the </w:t>
      </w:r>
      <w:r>
        <w:rPr>
          <w:b w:val="0"/>
          <w:bCs/>
          <w:sz w:val="22"/>
          <w:lang w:eastAsia="en-GB"/>
        </w:rPr>
        <w:t>Balance Sheet</w:t>
      </w:r>
      <w:r w:rsidRPr="00D85B3E">
        <w:rPr>
          <w:b w:val="0"/>
          <w:bCs/>
          <w:sz w:val="22"/>
          <w:lang w:eastAsia="en-GB"/>
        </w:rPr>
        <w:t xml:space="preserve"> of the institution it should recognise the present value of the minimum payments relating to the enhancements in the carrying value of the infrastructure where the relevant criteria are met. </w:t>
      </w:r>
    </w:p>
    <w:p w:rsidR="0076555B" w:rsidRPr="001254BA" w:rsidRDefault="0076555B" w:rsidP="0076555B">
      <w:pPr>
        <w:pStyle w:val="Heading6"/>
      </w:pPr>
      <w:r w:rsidRPr="00692407">
        <w:t>Measurement</w:t>
      </w:r>
    </w:p>
    <w:p w:rsidR="0076555B" w:rsidRPr="00D85B3E" w:rsidRDefault="0076555B" w:rsidP="0076555B">
      <w:pPr>
        <w:pStyle w:val="Heading2"/>
        <w:keepNext w:val="0"/>
        <w:widowControl w:val="0"/>
        <w:spacing w:after="120"/>
        <w:ind w:left="709" w:hanging="709"/>
        <w:rPr>
          <w:b w:val="0"/>
          <w:bCs/>
          <w:sz w:val="22"/>
          <w:lang w:eastAsia="en-GB"/>
        </w:rPr>
      </w:pPr>
      <w:r w:rsidRPr="00D85B3E">
        <w:rPr>
          <w:b w:val="0"/>
          <w:bCs/>
          <w:sz w:val="22"/>
          <w:lang w:eastAsia="en-GB"/>
        </w:rPr>
        <w:t xml:space="preserve">The </w:t>
      </w:r>
      <w:r>
        <w:rPr>
          <w:b w:val="0"/>
          <w:bCs/>
          <w:sz w:val="22"/>
          <w:lang w:eastAsia="en-GB"/>
        </w:rPr>
        <w:t>fixed asset</w:t>
      </w:r>
      <w:r w:rsidRPr="00D85B3E">
        <w:rPr>
          <w:b w:val="0"/>
          <w:bCs/>
          <w:sz w:val="22"/>
          <w:lang w:eastAsia="en-GB"/>
        </w:rPr>
        <w:t xml:space="preserve"> should be recognised at the present value of the minimum lease payments in accordance with the principles of finance lease accounting. Where an occupancy guarantee exists on a residence arrangement the resulting value will frequently be significantly lower than the fair value of the whole asset. In this section the 'minimum lease payments' are the elements of the minimum payments which are related to the property plant and equipment which has been constructed and provided under the agreement. It will frequently require judgement to identify this element.</w:t>
      </w:r>
    </w:p>
    <w:p w:rsidR="0076555B" w:rsidRPr="00692407" w:rsidRDefault="0076555B" w:rsidP="0076555B">
      <w:pPr>
        <w:pStyle w:val="Heading6"/>
      </w:pPr>
      <w:r w:rsidRPr="00692407">
        <w:t>Allocation of payments to the asset, lifecycle, financing cost and services</w:t>
      </w:r>
    </w:p>
    <w:p w:rsidR="0076555B" w:rsidRPr="00D85B3E" w:rsidRDefault="0076555B" w:rsidP="0076555B">
      <w:pPr>
        <w:pStyle w:val="Heading2"/>
        <w:keepNext w:val="0"/>
        <w:widowControl w:val="0"/>
        <w:spacing w:after="120"/>
        <w:ind w:left="709" w:hanging="709"/>
        <w:rPr>
          <w:b w:val="0"/>
          <w:bCs/>
          <w:sz w:val="22"/>
          <w:lang w:eastAsia="en-GB"/>
        </w:rPr>
      </w:pPr>
      <w:r w:rsidRPr="00D85B3E">
        <w:rPr>
          <w:b w:val="0"/>
          <w:bCs/>
          <w:sz w:val="22"/>
          <w:lang w:eastAsia="en-GB"/>
        </w:rPr>
        <w:lastRenderedPageBreak/>
        <w:t>Subsequent to initial recognition the minimum payments under the arrangement should be allocated between:</w:t>
      </w:r>
    </w:p>
    <w:p w:rsidR="0076555B" w:rsidRPr="00692407" w:rsidRDefault="0076555B" w:rsidP="0076555B">
      <w:pPr>
        <w:pStyle w:val="Text"/>
        <w:widowControl w:val="0"/>
        <w:numPr>
          <w:ilvl w:val="0"/>
          <w:numId w:val="28"/>
        </w:numPr>
        <w:tabs>
          <w:tab w:val="clear" w:pos="720"/>
        </w:tabs>
        <w:spacing w:after="120"/>
        <w:ind w:left="1276" w:hanging="283"/>
        <w:rPr>
          <w:lang w:eastAsia="en-GB"/>
        </w:rPr>
      </w:pPr>
      <w:r>
        <w:rPr>
          <w:lang w:eastAsia="en-GB"/>
        </w:rPr>
        <w:t>s</w:t>
      </w:r>
      <w:r w:rsidRPr="00692407">
        <w:rPr>
          <w:lang w:eastAsia="en-GB"/>
        </w:rPr>
        <w:t>ervice costs to reflect the service element of the arrangement;</w:t>
      </w:r>
    </w:p>
    <w:p w:rsidR="0076555B" w:rsidRPr="00692407" w:rsidRDefault="0076555B" w:rsidP="0076555B">
      <w:pPr>
        <w:pStyle w:val="Text"/>
        <w:widowControl w:val="0"/>
        <w:numPr>
          <w:ilvl w:val="0"/>
          <w:numId w:val="28"/>
        </w:numPr>
        <w:tabs>
          <w:tab w:val="clear" w:pos="720"/>
        </w:tabs>
        <w:spacing w:after="120"/>
        <w:ind w:left="1276" w:hanging="283"/>
        <w:rPr>
          <w:lang w:eastAsia="en-GB"/>
        </w:rPr>
      </w:pPr>
      <w:r>
        <w:rPr>
          <w:lang w:eastAsia="en-GB"/>
        </w:rPr>
        <w:t>l</w:t>
      </w:r>
      <w:r w:rsidRPr="00692407">
        <w:rPr>
          <w:lang w:eastAsia="en-GB"/>
        </w:rPr>
        <w:t>ifecycle additions;</w:t>
      </w:r>
    </w:p>
    <w:p w:rsidR="0076555B" w:rsidRPr="00692407" w:rsidRDefault="0076555B" w:rsidP="0076555B">
      <w:pPr>
        <w:pStyle w:val="Text"/>
        <w:widowControl w:val="0"/>
        <w:numPr>
          <w:ilvl w:val="0"/>
          <w:numId w:val="28"/>
        </w:numPr>
        <w:tabs>
          <w:tab w:val="clear" w:pos="720"/>
        </w:tabs>
        <w:spacing w:after="120"/>
        <w:ind w:left="1276" w:hanging="283"/>
        <w:rPr>
          <w:lang w:eastAsia="en-GB"/>
        </w:rPr>
      </w:pPr>
      <w:r>
        <w:rPr>
          <w:lang w:eastAsia="en-GB"/>
        </w:rPr>
        <w:t>r</w:t>
      </w:r>
      <w:r w:rsidRPr="00692407">
        <w:rPr>
          <w:lang w:eastAsia="en-GB"/>
        </w:rPr>
        <w:t xml:space="preserve">epayment of the </w:t>
      </w:r>
      <w:r>
        <w:rPr>
          <w:lang w:eastAsia="en-GB"/>
        </w:rPr>
        <w:t xml:space="preserve">financial </w:t>
      </w:r>
      <w:r w:rsidRPr="00692407">
        <w:rPr>
          <w:lang w:eastAsia="en-GB"/>
        </w:rPr>
        <w:t>liability; and</w:t>
      </w:r>
    </w:p>
    <w:p w:rsidR="0076555B" w:rsidRPr="00692407" w:rsidRDefault="0076555B" w:rsidP="0076555B">
      <w:pPr>
        <w:pStyle w:val="Text"/>
        <w:widowControl w:val="0"/>
        <w:numPr>
          <w:ilvl w:val="0"/>
          <w:numId w:val="28"/>
        </w:numPr>
        <w:tabs>
          <w:tab w:val="clear" w:pos="720"/>
        </w:tabs>
        <w:ind w:left="1276" w:hanging="283"/>
        <w:rPr>
          <w:lang w:eastAsia="en-GB"/>
        </w:rPr>
      </w:pPr>
      <w:r>
        <w:rPr>
          <w:lang w:eastAsia="en-GB"/>
        </w:rPr>
        <w:t>a</w:t>
      </w:r>
      <w:r w:rsidRPr="00692407">
        <w:rPr>
          <w:lang w:eastAsia="en-GB"/>
        </w:rPr>
        <w:t>n imput</w:t>
      </w:r>
      <w:r>
        <w:rPr>
          <w:lang w:eastAsia="en-GB"/>
        </w:rPr>
        <w:t>ed finance charge (using the effective interest method set out in paragraphs 11.15 to 11.20 of FRS 102</w:t>
      </w:r>
      <w:r w:rsidRPr="00692407">
        <w:rPr>
          <w:lang w:eastAsia="en-GB"/>
        </w:rPr>
        <w:t>).</w:t>
      </w:r>
    </w:p>
    <w:p w:rsidR="0076555B" w:rsidRPr="00D85B3E" w:rsidRDefault="0076555B" w:rsidP="0076555B">
      <w:pPr>
        <w:pStyle w:val="Heading2"/>
        <w:keepNext w:val="0"/>
        <w:widowControl w:val="0"/>
        <w:spacing w:after="120"/>
        <w:ind w:left="709" w:hanging="709"/>
        <w:rPr>
          <w:b w:val="0"/>
          <w:bCs/>
          <w:sz w:val="22"/>
          <w:lang w:eastAsia="en-GB"/>
        </w:rPr>
      </w:pPr>
      <w:r w:rsidRPr="00D85B3E">
        <w:rPr>
          <w:b w:val="0"/>
          <w:bCs/>
          <w:sz w:val="22"/>
          <w:lang w:eastAsia="en-GB"/>
        </w:rPr>
        <w:t>At</w:t>
      </w:r>
      <w:r>
        <w:rPr>
          <w:b w:val="0"/>
          <w:bCs/>
          <w:sz w:val="22"/>
          <w:lang w:eastAsia="en-GB"/>
        </w:rPr>
        <w:t xml:space="preserve"> the</w:t>
      </w:r>
      <w:r w:rsidRPr="00D85B3E">
        <w:rPr>
          <w:b w:val="0"/>
          <w:bCs/>
          <w:sz w:val="22"/>
          <w:lang w:eastAsia="en-GB"/>
        </w:rPr>
        <w:t xml:space="preserve"> outset service concession contracts typically include a financial model on which these allocations can be based.</w:t>
      </w:r>
    </w:p>
    <w:p w:rsidR="0076555B" w:rsidRPr="00D85B3E" w:rsidRDefault="0076555B" w:rsidP="0076555B">
      <w:pPr>
        <w:pStyle w:val="Heading2"/>
        <w:keepNext w:val="0"/>
        <w:widowControl w:val="0"/>
        <w:spacing w:after="120"/>
        <w:ind w:left="709" w:hanging="709"/>
        <w:rPr>
          <w:b w:val="0"/>
          <w:bCs/>
          <w:sz w:val="22"/>
          <w:lang w:eastAsia="en-GB"/>
        </w:rPr>
      </w:pPr>
      <w:r w:rsidRPr="00D85B3E">
        <w:rPr>
          <w:b w:val="0"/>
          <w:bCs/>
          <w:sz w:val="22"/>
          <w:lang w:eastAsia="en-GB"/>
        </w:rPr>
        <w:t xml:space="preserve">Where an arrangement has an occupancy guarantee, the guaranteed minimum payments are </w:t>
      </w:r>
      <w:r>
        <w:rPr>
          <w:b w:val="0"/>
          <w:bCs/>
          <w:sz w:val="22"/>
          <w:lang w:eastAsia="en-GB"/>
        </w:rPr>
        <w:t>allocated between</w:t>
      </w:r>
      <w:r w:rsidRPr="00D85B3E">
        <w:rPr>
          <w:b w:val="0"/>
          <w:bCs/>
          <w:sz w:val="22"/>
          <w:lang w:eastAsia="en-GB"/>
        </w:rPr>
        <w:t xml:space="preserve"> the r</w:t>
      </w:r>
      <w:r>
        <w:rPr>
          <w:b w:val="0"/>
          <w:bCs/>
          <w:sz w:val="22"/>
          <w:lang w:eastAsia="en-GB"/>
        </w:rPr>
        <w:t>epayment of the liability, the imputed finance charge</w:t>
      </w:r>
      <w:r w:rsidRPr="00D85B3E">
        <w:rPr>
          <w:b w:val="0"/>
          <w:bCs/>
          <w:sz w:val="22"/>
          <w:lang w:eastAsia="en-GB"/>
        </w:rPr>
        <w:t>, lifecycle additions and services</w:t>
      </w:r>
      <w:r>
        <w:rPr>
          <w:b w:val="0"/>
          <w:bCs/>
          <w:sz w:val="22"/>
          <w:lang w:eastAsia="en-GB"/>
        </w:rPr>
        <w:t xml:space="preserve"> in accordance with the specific circumstances of the scheme</w:t>
      </w:r>
      <w:r w:rsidRPr="00D85B3E">
        <w:rPr>
          <w:b w:val="0"/>
          <w:bCs/>
          <w:sz w:val="22"/>
          <w:lang w:eastAsia="en-GB"/>
        </w:rPr>
        <w:t xml:space="preserve">. </w:t>
      </w:r>
    </w:p>
    <w:p w:rsidR="0076555B" w:rsidRPr="00D85B3E" w:rsidRDefault="0076555B" w:rsidP="0076555B">
      <w:pPr>
        <w:pStyle w:val="Heading2"/>
        <w:keepNext w:val="0"/>
        <w:widowControl w:val="0"/>
        <w:spacing w:after="120"/>
        <w:ind w:left="709" w:hanging="709"/>
        <w:rPr>
          <w:b w:val="0"/>
          <w:bCs/>
          <w:sz w:val="22"/>
          <w:lang w:eastAsia="en-GB"/>
        </w:rPr>
      </w:pPr>
      <w:r w:rsidRPr="00D85B3E">
        <w:rPr>
          <w:b w:val="0"/>
          <w:bCs/>
          <w:sz w:val="22"/>
          <w:lang w:eastAsia="en-GB"/>
        </w:rPr>
        <w:t>Additional income received from students over and above the guaranteed payments</w:t>
      </w:r>
      <w:r>
        <w:rPr>
          <w:b w:val="0"/>
          <w:bCs/>
          <w:sz w:val="22"/>
          <w:lang w:eastAsia="en-GB"/>
        </w:rPr>
        <w:t xml:space="preserve"> </w:t>
      </w:r>
      <w:r w:rsidRPr="00D85B3E">
        <w:rPr>
          <w:b w:val="0"/>
          <w:bCs/>
          <w:sz w:val="22"/>
          <w:lang w:eastAsia="en-GB"/>
        </w:rPr>
        <w:t xml:space="preserve">should be recorded in the </w:t>
      </w:r>
      <w:r>
        <w:rPr>
          <w:b w:val="0"/>
          <w:bCs/>
          <w:sz w:val="22"/>
          <w:lang w:eastAsia="en-GB"/>
        </w:rPr>
        <w:t>Statement of Comprehensive Income</w:t>
      </w:r>
      <w:r w:rsidRPr="00D85B3E">
        <w:rPr>
          <w:b w:val="0"/>
          <w:bCs/>
          <w:sz w:val="22"/>
          <w:lang w:eastAsia="en-GB"/>
        </w:rPr>
        <w:t xml:space="preserve"> in the year to which they relate as </w:t>
      </w:r>
      <w:r>
        <w:rPr>
          <w:b w:val="0"/>
          <w:bCs/>
          <w:sz w:val="22"/>
          <w:lang w:eastAsia="en-GB"/>
        </w:rPr>
        <w:t>residence income received and an expense for the payment to the operator for services.  This is a contingent rental payment to the operator.</w:t>
      </w:r>
    </w:p>
    <w:p w:rsidR="0076555B" w:rsidRPr="001254BA" w:rsidRDefault="0076555B" w:rsidP="0076555B">
      <w:pPr>
        <w:pStyle w:val="Heading6"/>
      </w:pPr>
      <w:r w:rsidRPr="008C7E2C">
        <w:t>Prepayments</w:t>
      </w:r>
    </w:p>
    <w:p w:rsidR="0076555B" w:rsidRPr="00D85B3E" w:rsidRDefault="0076555B" w:rsidP="0076555B">
      <w:pPr>
        <w:pStyle w:val="Heading2"/>
        <w:keepNext w:val="0"/>
        <w:widowControl w:val="0"/>
        <w:spacing w:after="120"/>
        <w:ind w:left="709" w:hanging="709"/>
        <w:rPr>
          <w:b w:val="0"/>
          <w:bCs/>
          <w:sz w:val="22"/>
          <w:lang w:eastAsia="en-GB"/>
        </w:rPr>
      </w:pPr>
      <w:r>
        <w:rPr>
          <w:b w:val="0"/>
          <w:bCs/>
          <w:sz w:val="22"/>
          <w:lang w:eastAsia="en-GB"/>
        </w:rPr>
        <w:t>Where the service concession a</w:t>
      </w:r>
      <w:r w:rsidRPr="00D85B3E">
        <w:rPr>
          <w:b w:val="0"/>
          <w:bCs/>
          <w:sz w:val="22"/>
          <w:lang w:eastAsia="en-GB"/>
        </w:rPr>
        <w:t>rrangement requires payments to be made</w:t>
      </w:r>
      <w:r>
        <w:rPr>
          <w:b w:val="0"/>
          <w:bCs/>
          <w:sz w:val="22"/>
          <w:lang w:eastAsia="en-GB"/>
        </w:rPr>
        <w:t xml:space="preserve"> for the asset</w:t>
      </w:r>
      <w:r w:rsidRPr="00D85B3E">
        <w:rPr>
          <w:b w:val="0"/>
          <w:bCs/>
          <w:sz w:val="22"/>
          <w:lang w:eastAsia="en-GB"/>
        </w:rPr>
        <w:t xml:space="preserve"> before the infrastructure is recognised as an asset on the </w:t>
      </w:r>
      <w:r>
        <w:rPr>
          <w:b w:val="0"/>
          <w:bCs/>
          <w:sz w:val="22"/>
          <w:lang w:eastAsia="en-GB"/>
        </w:rPr>
        <w:t>balance sheet</w:t>
      </w:r>
      <w:r w:rsidRPr="00D85B3E">
        <w:rPr>
          <w:b w:val="0"/>
          <w:bCs/>
          <w:sz w:val="22"/>
          <w:lang w:eastAsia="en-GB"/>
        </w:rPr>
        <w:t xml:space="preserve"> these should be recognised as prepayments. On recognition of the asset and finance lease liability the prepayment can be netted from the liability as an initial payment. </w:t>
      </w:r>
    </w:p>
    <w:p w:rsidR="0076555B" w:rsidRPr="008C7E2C" w:rsidRDefault="0076555B" w:rsidP="0076555B">
      <w:pPr>
        <w:pStyle w:val="Heading6"/>
      </w:pPr>
      <w:r w:rsidRPr="008C7E2C">
        <w:t xml:space="preserve">Depreciation and impairment </w:t>
      </w:r>
    </w:p>
    <w:p w:rsidR="0076555B" w:rsidRDefault="0076555B" w:rsidP="0076555B">
      <w:pPr>
        <w:pStyle w:val="Heading2"/>
        <w:keepNext w:val="0"/>
        <w:widowControl w:val="0"/>
        <w:spacing w:after="120"/>
        <w:ind w:left="709" w:hanging="709"/>
        <w:rPr>
          <w:b w:val="0"/>
          <w:bCs/>
          <w:sz w:val="22"/>
          <w:lang w:eastAsia="en-GB"/>
        </w:rPr>
      </w:pPr>
      <w:r w:rsidRPr="00D85B3E">
        <w:rPr>
          <w:b w:val="0"/>
          <w:bCs/>
          <w:sz w:val="22"/>
          <w:lang w:eastAsia="en-GB"/>
        </w:rPr>
        <w:t xml:space="preserve">Assets recognised under the service concession arrangement rules of </w:t>
      </w:r>
      <w:r>
        <w:rPr>
          <w:b w:val="0"/>
          <w:bCs/>
          <w:sz w:val="22"/>
          <w:lang w:eastAsia="en-GB"/>
        </w:rPr>
        <w:t>FRS 102</w:t>
      </w:r>
      <w:r w:rsidRPr="00D85B3E">
        <w:rPr>
          <w:b w:val="0"/>
          <w:bCs/>
          <w:sz w:val="22"/>
          <w:lang w:eastAsia="en-GB"/>
        </w:rPr>
        <w:t xml:space="preserve"> should be depreciated and impaired in the same way as all assets of the same class. </w:t>
      </w:r>
    </w:p>
    <w:p w:rsidR="0076555B" w:rsidRPr="00D85B3E" w:rsidRDefault="0076555B" w:rsidP="0076555B">
      <w:pPr>
        <w:pStyle w:val="Heading7"/>
        <w:widowControl w:val="0"/>
        <w:numPr>
          <w:ilvl w:val="0"/>
          <w:numId w:val="0"/>
        </w:numPr>
        <w:ind w:left="709"/>
        <w:rPr>
          <w:b/>
          <w:iCs/>
          <w:lang w:eastAsia="en-GB"/>
        </w:rPr>
      </w:pPr>
      <w:r w:rsidRPr="00D85B3E">
        <w:rPr>
          <w:b/>
          <w:iCs/>
          <w:lang w:eastAsia="en-GB"/>
        </w:rPr>
        <w:t xml:space="preserve">Occupancy Guarantees </w:t>
      </w:r>
    </w:p>
    <w:p w:rsidR="0076555B" w:rsidRPr="00D85B3E" w:rsidRDefault="0076555B" w:rsidP="0076555B">
      <w:pPr>
        <w:pStyle w:val="Heading2"/>
        <w:keepNext w:val="0"/>
        <w:widowControl w:val="0"/>
        <w:spacing w:after="120"/>
        <w:ind w:left="709" w:hanging="709"/>
        <w:rPr>
          <w:b w:val="0"/>
          <w:bCs/>
          <w:sz w:val="22"/>
          <w:lang w:eastAsia="en-GB"/>
        </w:rPr>
      </w:pPr>
      <w:r w:rsidRPr="00D85B3E">
        <w:rPr>
          <w:b w:val="0"/>
          <w:bCs/>
          <w:sz w:val="22"/>
          <w:lang w:eastAsia="en-GB"/>
        </w:rPr>
        <w:t xml:space="preserve">A number of arrangements exist which do not meet the tests of a service concession arrangement, but under which the institution has an occupancy or similar guarantee. In such circumstances an institution </w:t>
      </w:r>
      <w:r>
        <w:rPr>
          <w:b w:val="0"/>
          <w:bCs/>
          <w:sz w:val="22"/>
          <w:lang w:eastAsia="en-GB"/>
        </w:rPr>
        <w:t>must</w:t>
      </w:r>
      <w:r w:rsidRPr="00D85B3E">
        <w:rPr>
          <w:b w:val="0"/>
          <w:bCs/>
          <w:sz w:val="22"/>
          <w:lang w:eastAsia="en-GB"/>
        </w:rPr>
        <w:t xml:space="preserve"> consider whether a provision should be recorded or a contingent liability disclosed for future guaranteed payments that would not be met through rental income receipts. </w:t>
      </w:r>
    </w:p>
    <w:p w:rsidR="0076555B" w:rsidRPr="00D85B3E" w:rsidRDefault="0076555B" w:rsidP="0076555B">
      <w:pPr>
        <w:pStyle w:val="Heading7"/>
        <w:widowControl w:val="0"/>
        <w:numPr>
          <w:ilvl w:val="0"/>
          <w:numId w:val="0"/>
        </w:numPr>
        <w:ind w:left="709"/>
        <w:rPr>
          <w:b/>
          <w:iCs/>
          <w:lang w:eastAsia="en-GB"/>
        </w:rPr>
      </w:pPr>
      <w:r w:rsidRPr="00D85B3E">
        <w:rPr>
          <w:b/>
          <w:iCs/>
          <w:lang w:eastAsia="en-GB"/>
        </w:rPr>
        <w:t>Disclosures</w:t>
      </w:r>
    </w:p>
    <w:p w:rsidR="0076555B" w:rsidRDefault="0076555B" w:rsidP="0076555B">
      <w:pPr>
        <w:pStyle w:val="Heading2"/>
        <w:keepNext w:val="0"/>
        <w:widowControl w:val="0"/>
        <w:spacing w:after="120"/>
        <w:ind w:left="709" w:hanging="709"/>
        <w:rPr>
          <w:b w:val="0"/>
          <w:bCs/>
          <w:sz w:val="22"/>
          <w:lang w:eastAsia="en-GB"/>
        </w:rPr>
      </w:pPr>
      <w:r>
        <w:rPr>
          <w:b w:val="0"/>
          <w:bCs/>
          <w:sz w:val="22"/>
          <w:lang w:eastAsia="en-GB"/>
        </w:rPr>
        <w:t xml:space="preserve">This SORP requires a number of disclosures to be provided in relation to service concession arrangements. These are over and above the requirements of FRS 102, but in line with other public sector entity disclosure requirements under their accounting frameworks. </w:t>
      </w:r>
    </w:p>
    <w:p w:rsidR="0076555B" w:rsidRPr="00D85B3E" w:rsidRDefault="0076555B" w:rsidP="0076555B">
      <w:pPr>
        <w:pStyle w:val="Heading2"/>
        <w:keepNext w:val="0"/>
        <w:widowControl w:val="0"/>
        <w:spacing w:after="120"/>
        <w:ind w:left="709" w:hanging="709"/>
        <w:rPr>
          <w:b w:val="0"/>
          <w:bCs/>
          <w:sz w:val="22"/>
          <w:lang w:eastAsia="en-GB"/>
        </w:rPr>
      </w:pPr>
      <w:r>
        <w:rPr>
          <w:b w:val="0"/>
          <w:bCs/>
          <w:sz w:val="22"/>
          <w:lang w:eastAsia="en-GB"/>
        </w:rPr>
        <w:t>Institutions must</w:t>
      </w:r>
      <w:r w:rsidRPr="00D85B3E">
        <w:rPr>
          <w:b w:val="0"/>
          <w:bCs/>
          <w:sz w:val="22"/>
          <w:lang w:eastAsia="en-GB"/>
        </w:rPr>
        <w:t xml:space="preserve"> comply with the following disclosure requirements</w:t>
      </w:r>
      <w:r>
        <w:rPr>
          <w:b w:val="0"/>
          <w:bCs/>
          <w:sz w:val="22"/>
          <w:lang w:eastAsia="en-GB"/>
        </w:rPr>
        <w:t xml:space="preserve"> for all service concession arrangements whether or not an asset and /or liability is recorded on the balance sheet</w:t>
      </w:r>
      <w:r w:rsidRPr="00D85B3E">
        <w:rPr>
          <w:b w:val="0"/>
          <w:bCs/>
          <w:sz w:val="22"/>
          <w:lang w:eastAsia="en-GB"/>
        </w:rPr>
        <w:t xml:space="preserve">: </w:t>
      </w:r>
    </w:p>
    <w:p w:rsidR="0076555B" w:rsidRPr="008C7E2C" w:rsidRDefault="0076555B" w:rsidP="0076555B">
      <w:pPr>
        <w:pStyle w:val="Text"/>
        <w:widowControl w:val="0"/>
        <w:numPr>
          <w:ilvl w:val="0"/>
          <w:numId w:val="30"/>
        </w:numPr>
        <w:tabs>
          <w:tab w:val="clear" w:pos="720"/>
        </w:tabs>
        <w:spacing w:after="120"/>
        <w:ind w:left="1276" w:hanging="283"/>
        <w:rPr>
          <w:lang w:eastAsia="en-GB"/>
        </w:rPr>
      </w:pPr>
      <w:r>
        <w:rPr>
          <w:lang w:eastAsia="en-GB"/>
        </w:rPr>
        <w:t>t</w:t>
      </w:r>
      <w:r w:rsidRPr="008C7E2C">
        <w:rPr>
          <w:lang w:eastAsia="en-GB"/>
        </w:rPr>
        <w:t xml:space="preserve">he value of the assets held under service concession arrangements at each </w:t>
      </w:r>
      <w:r>
        <w:rPr>
          <w:lang w:eastAsia="en-GB"/>
        </w:rPr>
        <w:t>balance sheet</w:t>
      </w:r>
      <w:r w:rsidRPr="008C7E2C">
        <w:rPr>
          <w:lang w:eastAsia="en-GB"/>
        </w:rPr>
        <w:t xml:space="preserve"> date, and an analysis of the movement in these values. It may be appropriate for institutions to disclose whether an asset is held at a value other than fair value where these v</w:t>
      </w:r>
      <w:r>
        <w:rPr>
          <w:lang w:eastAsia="en-GB"/>
        </w:rPr>
        <w:t>alues are materially different;</w:t>
      </w:r>
    </w:p>
    <w:p w:rsidR="0076555B" w:rsidRPr="008C7E2C" w:rsidRDefault="0076555B" w:rsidP="0076555B">
      <w:pPr>
        <w:pStyle w:val="Text"/>
        <w:widowControl w:val="0"/>
        <w:numPr>
          <w:ilvl w:val="0"/>
          <w:numId w:val="30"/>
        </w:numPr>
        <w:tabs>
          <w:tab w:val="clear" w:pos="720"/>
        </w:tabs>
        <w:spacing w:after="120"/>
        <w:ind w:left="1276" w:hanging="283"/>
        <w:rPr>
          <w:lang w:eastAsia="en-GB"/>
        </w:rPr>
      </w:pPr>
      <w:r>
        <w:rPr>
          <w:lang w:eastAsia="en-GB"/>
        </w:rPr>
        <w:t>t</w:t>
      </w:r>
      <w:r w:rsidRPr="008C7E2C">
        <w:rPr>
          <w:lang w:eastAsia="en-GB"/>
        </w:rPr>
        <w:t xml:space="preserve">he value of the liabilities resulting from the service concession arrangement at each </w:t>
      </w:r>
      <w:r>
        <w:rPr>
          <w:lang w:eastAsia="en-GB"/>
        </w:rPr>
        <w:t>balance sheet</w:t>
      </w:r>
      <w:r w:rsidRPr="008C7E2C">
        <w:rPr>
          <w:lang w:eastAsia="en-GB"/>
        </w:rPr>
        <w:t xml:space="preserve"> date, and an analysis of the movement in </w:t>
      </w:r>
      <w:r>
        <w:rPr>
          <w:lang w:eastAsia="en-GB"/>
        </w:rPr>
        <w:t>these values;</w:t>
      </w:r>
    </w:p>
    <w:p w:rsidR="0076555B" w:rsidRPr="008C7E2C" w:rsidRDefault="0076555B" w:rsidP="0076555B">
      <w:pPr>
        <w:pStyle w:val="Text"/>
        <w:widowControl w:val="0"/>
        <w:numPr>
          <w:ilvl w:val="0"/>
          <w:numId w:val="30"/>
        </w:numPr>
        <w:tabs>
          <w:tab w:val="clear" w:pos="720"/>
        </w:tabs>
        <w:spacing w:after="120"/>
        <w:ind w:left="1276" w:hanging="283"/>
        <w:rPr>
          <w:lang w:eastAsia="en-GB"/>
        </w:rPr>
      </w:pPr>
      <w:r>
        <w:rPr>
          <w:lang w:eastAsia="en-GB"/>
        </w:rPr>
        <w:t>d</w:t>
      </w:r>
      <w:r w:rsidRPr="008C7E2C">
        <w:rPr>
          <w:lang w:eastAsia="en-GB"/>
        </w:rPr>
        <w:t xml:space="preserve">etails of the future minimum payments due to be made, separated into repayments of liability, interest and service charges: </w:t>
      </w:r>
    </w:p>
    <w:p w:rsidR="0076555B" w:rsidRPr="008C7E2C" w:rsidRDefault="0076555B" w:rsidP="0076555B">
      <w:pPr>
        <w:pStyle w:val="Text"/>
        <w:widowControl w:val="0"/>
        <w:numPr>
          <w:ilvl w:val="1"/>
          <w:numId w:val="31"/>
        </w:numPr>
        <w:tabs>
          <w:tab w:val="clear" w:pos="1440"/>
        </w:tabs>
        <w:spacing w:after="120"/>
        <w:ind w:left="1560" w:hanging="283"/>
        <w:rPr>
          <w:lang w:eastAsia="en-GB"/>
        </w:rPr>
      </w:pPr>
      <w:r>
        <w:rPr>
          <w:lang w:eastAsia="en-GB"/>
        </w:rPr>
        <w:t>w</w:t>
      </w:r>
      <w:r w:rsidRPr="008C7E2C">
        <w:rPr>
          <w:lang w:eastAsia="en-GB"/>
        </w:rPr>
        <w:t>ithin 1 year</w:t>
      </w:r>
    </w:p>
    <w:p w:rsidR="0076555B" w:rsidRPr="008C7E2C" w:rsidRDefault="0076555B" w:rsidP="0076555B">
      <w:pPr>
        <w:pStyle w:val="Text"/>
        <w:widowControl w:val="0"/>
        <w:numPr>
          <w:ilvl w:val="1"/>
          <w:numId w:val="31"/>
        </w:numPr>
        <w:tabs>
          <w:tab w:val="clear" w:pos="1440"/>
        </w:tabs>
        <w:spacing w:after="120"/>
        <w:ind w:left="1560" w:hanging="283"/>
        <w:rPr>
          <w:lang w:eastAsia="en-GB"/>
        </w:rPr>
      </w:pPr>
      <w:r>
        <w:rPr>
          <w:lang w:eastAsia="en-GB"/>
        </w:rPr>
        <w:lastRenderedPageBreak/>
        <w:t>w</w:t>
      </w:r>
      <w:r w:rsidRPr="008C7E2C">
        <w:rPr>
          <w:lang w:eastAsia="en-GB"/>
        </w:rPr>
        <w:t>ithin 2-5 years; and</w:t>
      </w:r>
    </w:p>
    <w:p w:rsidR="0076555B" w:rsidRPr="008C7E2C" w:rsidRDefault="0076555B" w:rsidP="0076555B">
      <w:pPr>
        <w:pStyle w:val="Text"/>
        <w:widowControl w:val="0"/>
        <w:numPr>
          <w:ilvl w:val="1"/>
          <w:numId w:val="31"/>
        </w:numPr>
        <w:tabs>
          <w:tab w:val="clear" w:pos="1440"/>
        </w:tabs>
        <w:spacing w:after="120"/>
        <w:ind w:left="1560" w:hanging="283"/>
        <w:rPr>
          <w:lang w:eastAsia="en-GB"/>
        </w:rPr>
      </w:pPr>
      <w:r>
        <w:rPr>
          <w:lang w:eastAsia="en-GB"/>
        </w:rPr>
        <w:t>l</w:t>
      </w:r>
      <w:r w:rsidRPr="008C7E2C">
        <w:rPr>
          <w:lang w:eastAsia="en-GB"/>
        </w:rPr>
        <w:t>ater than 5 years</w:t>
      </w:r>
    </w:p>
    <w:p w:rsidR="0076555B" w:rsidRPr="008C7E2C" w:rsidRDefault="0076555B" w:rsidP="0076555B">
      <w:pPr>
        <w:pStyle w:val="Text"/>
        <w:widowControl w:val="0"/>
        <w:numPr>
          <w:ilvl w:val="0"/>
          <w:numId w:val="31"/>
        </w:numPr>
        <w:tabs>
          <w:tab w:val="clear" w:pos="720"/>
        </w:tabs>
        <w:spacing w:after="120"/>
        <w:ind w:left="1276" w:hanging="283"/>
        <w:rPr>
          <w:lang w:eastAsia="en-GB"/>
        </w:rPr>
      </w:pPr>
      <w:r w:rsidRPr="008C7E2C">
        <w:rPr>
          <w:lang w:eastAsia="en-GB"/>
        </w:rPr>
        <w:t xml:space="preserve">The following disclosures shall be provided individually for each arrangement or in aggregate for each class of arrangements: </w:t>
      </w:r>
    </w:p>
    <w:p w:rsidR="0076555B" w:rsidRPr="008C7E2C" w:rsidRDefault="0076555B" w:rsidP="0076555B">
      <w:pPr>
        <w:pStyle w:val="Text"/>
        <w:widowControl w:val="0"/>
        <w:numPr>
          <w:ilvl w:val="1"/>
          <w:numId w:val="31"/>
        </w:numPr>
        <w:tabs>
          <w:tab w:val="clear" w:pos="1440"/>
        </w:tabs>
        <w:spacing w:after="120"/>
        <w:ind w:left="1560" w:hanging="283"/>
        <w:rPr>
          <w:lang w:eastAsia="en-GB"/>
        </w:rPr>
      </w:pPr>
      <w:r>
        <w:rPr>
          <w:lang w:eastAsia="en-GB"/>
        </w:rPr>
        <w:t>a</w:t>
      </w:r>
      <w:r w:rsidRPr="008C7E2C">
        <w:rPr>
          <w:lang w:eastAsia="en-GB"/>
        </w:rPr>
        <w:t xml:space="preserve"> description of the arrangement</w:t>
      </w:r>
    </w:p>
    <w:p w:rsidR="0076555B" w:rsidRPr="008C7E2C" w:rsidRDefault="0076555B" w:rsidP="0076555B">
      <w:pPr>
        <w:pStyle w:val="Text"/>
        <w:widowControl w:val="0"/>
        <w:numPr>
          <w:ilvl w:val="1"/>
          <w:numId w:val="31"/>
        </w:numPr>
        <w:tabs>
          <w:tab w:val="clear" w:pos="1440"/>
        </w:tabs>
        <w:spacing w:after="120"/>
        <w:ind w:left="1560" w:hanging="283"/>
        <w:rPr>
          <w:lang w:eastAsia="en-GB"/>
        </w:rPr>
      </w:pPr>
      <w:r>
        <w:rPr>
          <w:lang w:eastAsia="en-GB"/>
        </w:rPr>
        <w:t>s</w:t>
      </w:r>
      <w:r w:rsidRPr="008C7E2C">
        <w:rPr>
          <w:lang w:eastAsia="en-GB"/>
        </w:rPr>
        <w:t>ignificant terms of the arrangement that may affect the amount, timing and certainty of future cash flows</w:t>
      </w:r>
    </w:p>
    <w:p w:rsidR="0076555B" w:rsidRPr="008C7E2C" w:rsidRDefault="0076555B" w:rsidP="0076555B">
      <w:pPr>
        <w:pStyle w:val="Text"/>
        <w:widowControl w:val="0"/>
        <w:numPr>
          <w:ilvl w:val="1"/>
          <w:numId w:val="31"/>
        </w:numPr>
        <w:tabs>
          <w:tab w:val="clear" w:pos="1440"/>
        </w:tabs>
        <w:spacing w:after="120"/>
        <w:ind w:left="1560" w:hanging="283"/>
        <w:rPr>
          <w:lang w:eastAsia="en-GB"/>
        </w:rPr>
      </w:pPr>
      <w:r>
        <w:rPr>
          <w:lang w:eastAsia="en-GB"/>
        </w:rPr>
        <w:t>t</w:t>
      </w:r>
      <w:r w:rsidRPr="008C7E2C">
        <w:rPr>
          <w:lang w:eastAsia="en-GB"/>
        </w:rPr>
        <w:t>he nature and extent, where significant, of</w:t>
      </w:r>
    </w:p>
    <w:p w:rsidR="0076555B" w:rsidRPr="008C7E2C" w:rsidRDefault="0076555B" w:rsidP="0076555B">
      <w:pPr>
        <w:pStyle w:val="Text"/>
        <w:widowControl w:val="0"/>
        <w:numPr>
          <w:ilvl w:val="2"/>
          <w:numId w:val="32"/>
        </w:numPr>
        <w:tabs>
          <w:tab w:val="clear" w:pos="2160"/>
        </w:tabs>
        <w:spacing w:after="120"/>
        <w:ind w:left="2127" w:hanging="283"/>
        <w:rPr>
          <w:lang w:eastAsia="en-GB"/>
        </w:rPr>
      </w:pPr>
      <w:r>
        <w:rPr>
          <w:lang w:eastAsia="en-GB"/>
        </w:rPr>
        <w:t>r</w:t>
      </w:r>
      <w:r w:rsidRPr="008C7E2C">
        <w:rPr>
          <w:lang w:eastAsia="en-GB"/>
        </w:rPr>
        <w:t>ights to use specified assets</w:t>
      </w:r>
    </w:p>
    <w:p w:rsidR="0076555B" w:rsidRPr="008C7E2C" w:rsidRDefault="0076555B" w:rsidP="0076555B">
      <w:pPr>
        <w:pStyle w:val="Text"/>
        <w:widowControl w:val="0"/>
        <w:numPr>
          <w:ilvl w:val="2"/>
          <w:numId w:val="32"/>
        </w:numPr>
        <w:tabs>
          <w:tab w:val="clear" w:pos="2160"/>
        </w:tabs>
        <w:spacing w:after="120"/>
        <w:ind w:left="2127" w:hanging="283"/>
        <w:rPr>
          <w:lang w:eastAsia="en-GB"/>
        </w:rPr>
      </w:pPr>
      <w:r>
        <w:rPr>
          <w:lang w:eastAsia="en-GB"/>
        </w:rPr>
        <w:t>r</w:t>
      </w:r>
      <w:r w:rsidRPr="008C7E2C">
        <w:rPr>
          <w:lang w:eastAsia="en-GB"/>
        </w:rPr>
        <w:t>ights to expect provision of services</w:t>
      </w:r>
    </w:p>
    <w:p w:rsidR="0076555B" w:rsidRPr="008C7E2C" w:rsidRDefault="0076555B" w:rsidP="0076555B">
      <w:pPr>
        <w:pStyle w:val="Text"/>
        <w:widowControl w:val="0"/>
        <w:numPr>
          <w:ilvl w:val="2"/>
          <w:numId w:val="32"/>
        </w:numPr>
        <w:tabs>
          <w:tab w:val="clear" w:pos="2160"/>
        </w:tabs>
        <w:spacing w:after="120"/>
        <w:ind w:left="2127" w:hanging="283"/>
        <w:rPr>
          <w:lang w:eastAsia="en-GB"/>
        </w:rPr>
      </w:pPr>
      <w:r>
        <w:rPr>
          <w:lang w:eastAsia="en-GB"/>
        </w:rPr>
        <w:t>o</w:t>
      </w:r>
      <w:r w:rsidRPr="008C7E2C">
        <w:rPr>
          <w:lang w:eastAsia="en-GB"/>
        </w:rPr>
        <w:t>bligations to acquire or build items of property, plant and equipment</w:t>
      </w:r>
    </w:p>
    <w:p w:rsidR="0076555B" w:rsidRPr="008C7E2C" w:rsidRDefault="0076555B" w:rsidP="0076555B">
      <w:pPr>
        <w:pStyle w:val="Text"/>
        <w:widowControl w:val="0"/>
        <w:numPr>
          <w:ilvl w:val="2"/>
          <w:numId w:val="32"/>
        </w:numPr>
        <w:tabs>
          <w:tab w:val="clear" w:pos="2160"/>
        </w:tabs>
        <w:spacing w:after="120"/>
        <w:ind w:left="2127" w:hanging="283"/>
        <w:rPr>
          <w:lang w:eastAsia="en-GB"/>
        </w:rPr>
      </w:pPr>
      <w:r>
        <w:rPr>
          <w:lang w:eastAsia="en-GB"/>
        </w:rPr>
        <w:t>r</w:t>
      </w:r>
      <w:r w:rsidRPr="008C7E2C">
        <w:rPr>
          <w:lang w:eastAsia="en-GB"/>
        </w:rPr>
        <w:t>ights to receive specified assets at the end of the concession period</w:t>
      </w:r>
    </w:p>
    <w:p w:rsidR="0076555B" w:rsidRPr="008C7E2C" w:rsidRDefault="0076555B" w:rsidP="0076555B">
      <w:pPr>
        <w:pStyle w:val="Text"/>
        <w:widowControl w:val="0"/>
        <w:numPr>
          <w:ilvl w:val="2"/>
          <w:numId w:val="32"/>
        </w:numPr>
        <w:tabs>
          <w:tab w:val="clear" w:pos="2160"/>
        </w:tabs>
        <w:spacing w:after="120"/>
        <w:ind w:left="2127" w:hanging="283"/>
        <w:rPr>
          <w:lang w:eastAsia="en-GB"/>
        </w:rPr>
      </w:pPr>
      <w:r>
        <w:rPr>
          <w:lang w:eastAsia="en-GB"/>
        </w:rPr>
        <w:t>r</w:t>
      </w:r>
      <w:r w:rsidRPr="008C7E2C">
        <w:rPr>
          <w:lang w:eastAsia="en-GB"/>
        </w:rPr>
        <w:t>enewal and termination options</w:t>
      </w:r>
    </w:p>
    <w:p w:rsidR="0076555B" w:rsidRPr="008C7E2C" w:rsidRDefault="0076555B" w:rsidP="0076555B">
      <w:pPr>
        <w:pStyle w:val="Text"/>
        <w:widowControl w:val="0"/>
        <w:numPr>
          <w:ilvl w:val="2"/>
          <w:numId w:val="32"/>
        </w:numPr>
        <w:tabs>
          <w:tab w:val="clear" w:pos="2160"/>
        </w:tabs>
        <w:spacing w:after="120"/>
        <w:ind w:left="2127" w:hanging="283"/>
        <w:rPr>
          <w:lang w:eastAsia="en-GB"/>
        </w:rPr>
      </w:pPr>
      <w:r>
        <w:rPr>
          <w:lang w:eastAsia="en-GB"/>
        </w:rPr>
        <w:t>o</w:t>
      </w:r>
      <w:r w:rsidRPr="008C7E2C">
        <w:rPr>
          <w:lang w:eastAsia="en-GB"/>
        </w:rPr>
        <w:t>ther rights and obligations</w:t>
      </w:r>
    </w:p>
    <w:p w:rsidR="0076555B" w:rsidRDefault="0076555B" w:rsidP="0076555B">
      <w:pPr>
        <w:pStyle w:val="Text"/>
        <w:widowControl w:val="0"/>
        <w:numPr>
          <w:ilvl w:val="2"/>
          <w:numId w:val="32"/>
        </w:numPr>
        <w:tabs>
          <w:tab w:val="clear" w:pos="2160"/>
        </w:tabs>
        <w:spacing w:after="120"/>
        <w:ind w:left="2127" w:hanging="283"/>
        <w:rPr>
          <w:lang w:eastAsia="en-GB"/>
        </w:rPr>
      </w:pPr>
      <w:r>
        <w:rPr>
          <w:lang w:eastAsia="en-GB"/>
        </w:rPr>
        <w:t>c</w:t>
      </w:r>
      <w:r w:rsidRPr="008C7E2C">
        <w:rPr>
          <w:lang w:eastAsia="en-GB"/>
        </w:rPr>
        <w:t>hanges in the arrangement occurring during the period</w:t>
      </w:r>
    </w:p>
    <w:p w:rsidR="00CC7497" w:rsidRPr="005F278F" w:rsidRDefault="00CC7497" w:rsidP="00FD2028">
      <w:pPr>
        <w:rPr>
          <w:rFonts w:ascii="Times New Roman" w:hAnsi="Times New Roman" w:cs="Times New Roman"/>
        </w:rPr>
      </w:pPr>
    </w:p>
    <w:sectPr w:rsidR="00CC7497" w:rsidRPr="005F278F" w:rsidSect="002E716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21" w:rsidRDefault="00317221" w:rsidP="00D74DAD">
      <w:pPr>
        <w:spacing w:after="0" w:line="240" w:lineRule="auto"/>
      </w:pPr>
      <w:r>
        <w:separator/>
      </w:r>
    </w:p>
  </w:endnote>
  <w:endnote w:type="continuationSeparator" w:id="0">
    <w:p w:rsidR="00317221" w:rsidRDefault="00317221" w:rsidP="00D7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95240"/>
      <w:docPartObj>
        <w:docPartGallery w:val="Page Numbers (Bottom of Page)"/>
        <w:docPartUnique/>
      </w:docPartObj>
    </w:sdtPr>
    <w:sdtEndPr>
      <w:rPr>
        <w:noProof/>
      </w:rPr>
    </w:sdtEndPr>
    <w:sdtContent>
      <w:p w:rsidR="006042DD" w:rsidRDefault="0053721D" w:rsidP="006042DD">
        <w:pPr>
          <w:pStyle w:val="Footer"/>
          <w:rPr>
            <w:noProof/>
          </w:rPr>
        </w:pPr>
        <w:r>
          <w:fldChar w:fldCharType="begin"/>
        </w:r>
        <w:r>
          <w:instrText xml:space="preserve"> PAGE   \* MERGEFORMAT </w:instrText>
        </w:r>
        <w:r>
          <w:fldChar w:fldCharType="separate"/>
        </w:r>
        <w:r w:rsidR="006042DD">
          <w:rPr>
            <w:noProof/>
          </w:rPr>
          <w:t>7</w:t>
        </w:r>
        <w:r>
          <w:rPr>
            <w:noProof/>
          </w:rPr>
          <w:fldChar w:fldCharType="end"/>
        </w:r>
      </w:p>
      <w:p w:rsidR="00762468" w:rsidRDefault="006042DD" w:rsidP="006042DD">
        <w:pPr>
          <w:pStyle w:val="Footer"/>
          <w:jc w:val="right"/>
          <w:rPr>
            <w:noProof/>
          </w:rPr>
        </w:pPr>
        <w:r>
          <w:rPr>
            <w:noProof/>
          </w:rPr>
          <w:t>April 2014</w:t>
        </w:r>
      </w:p>
    </w:sdtContent>
  </w:sdt>
  <w:p w:rsidR="00762468" w:rsidRDefault="00762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21" w:rsidRDefault="00317221" w:rsidP="00D74DAD">
      <w:pPr>
        <w:spacing w:after="0" w:line="240" w:lineRule="auto"/>
      </w:pPr>
      <w:r>
        <w:separator/>
      </w:r>
    </w:p>
  </w:footnote>
  <w:footnote w:type="continuationSeparator" w:id="0">
    <w:p w:rsidR="00317221" w:rsidRDefault="00317221" w:rsidP="00D74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6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6A664F"/>
    <w:multiLevelType w:val="hybridMultilevel"/>
    <w:tmpl w:val="55E488EA"/>
    <w:lvl w:ilvl="0" w:tplc="6F7C84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FC5E5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1672AA"/>
    <w:multiLevelType w:val="multilevel"/>
    <w:tmpl w:val="82E63F9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3C6187"/>
    <w:multiLevelType w:val="hybridMultilevel"/>
    <w:tmpl w:val="74288660"/>
    <w:lvl w:ilvl="0" w:tplc="8C10B000">
      <w:start w:val="3"/>
      <w:numFmt w:val="decimal"/>
      <w:lvlText w:val="%1."/>
      <w:lvlJc w:val="left"/>
      <w:pPr>
        <w:tabs>
          <w:tab w:val="num" w:pos="720"/>
        </w:tabs>
        <w:ind w:left="720" w:hanging="360"/>
      </w:pPr>
    </w:lvl>
    <w:lvl w:ilvl="1" w:tplc="6930F0E6" w:tentative="1">
      <w:start w:val="1"/>
      <w:numFmt w:val="decimal"/>
      <w:lvlText w:val="%2."/>
      <w:lvlJc w:val="left"/>
      <w:pPr>
        <w:tabs>
          <w:tab w:val="num" w:pos="1440"/>
        </w:tabs>
        <w:ind w:left="1440" w:hanging="360"/>
      </w:pPr>
    </w:lvl>
    <w:lvl w:ilvl="2" w:tplc="4F748800" w:tentative="1">
      <w:start w:val="1"/>
      <w:numFmt w:val="decimal"/>
      <w:lvlText w:val="%3."/>
      <w:lvlJc w:val="left"/>
      <w:pPr>
        <w:tabs>
          <w:tab w:val="num" w:pos="2160"/>
        </w:tabs>
        <w:ind w:left="2160" w:hanging="360"/>
      </w:pPr>
    </w:lvl>
    <w:lvl w:ilvl="3" w:tplc="0964A80A" w:tentative="1">
      <w:start w:val="1"/>
      <w:numFmt w:val="decimal"/>
      <w:lvlText w:val="%4."/>
      <w:lvlJc w:val="left"/>
      <w:pPr>
        <w:tabs>
          <w:tab w:val="num" w:pos="2880"/>
        </w:tabs>
        <w:ind w:left="2880" w:hanging="360"/>
      </w:pPr>
    </w:lvl>
    <w:lvl w:ilvl="4" w:tplc="34B0CA20" w:tentative="1">
      <w:start w:val="1"/>
      <w:numFmt w:val="decimal"/>
      <w:lvlText w:val="%5."/>
      <w:lvlJc w:val="left"/>
      <w:pPr>
        <w:tabs>
          <w:tab w:val="num" w:pos="3600"/>
        </w:tabs>
        <w:ind w:left="3600" w:hanging="360"/>
      </w:pPr>
    </w:lvl>
    <w:lvl w:ilvl="5" w:tplc="E4B8128E" w:tentative="1">
      <w:start w:val="1"/>
      <w:numFmt w:val="decimal"/>
      <w:lvlText w:val="%6."/>
      <w:lvlJc w:val="left"/>
      <w:pPr>
        <w:tabs>
          <w:tab w:val="num" w:pos="4320"/>
        </w:tabs>
        <w:ind w:left="4320" w:hanging="360"/>
      </w:pPr>
    </w:lvl>
    <w:lvl w:ilvl="6" w:tplc="3C1ED190" w:tentative="1">
      <w:start w:val="1"/>
      <w:numFmt w:val="decimal"/>
      <w:lvlText w:val="%7."/>
      <w:lvlJc w:val="left"/>
      <w:pPr>
        <w:tabs>
          <w:tab w:val="num" w:pos="5040"/>
        </w:tabs>
        <w:ind w:left="5040" w:hanging="360"/>
      </w:pPr>
    </w:lvl>
    <w:lvl w:ilvl="7" w:tplc="FC249890" w:tentative="1">
      <w:start w:val="1"/>
      <w:numFmt w:val="decimal"/>
      <w:lvlText w:val="%8."/>
      <w:lvlJc w:val="left"/>
      <w:pPr>
        <w:tabs>
          <w:tab w:val="num" w:pos="5760"/>
        </w:tabs>
        <w:ind w:left="5760" w:hanging="360"/>
      </w:pPr>
    </w:lvl>
    <w:lvl w:ilvl="8" w:tplc="740ED7D4" w:tentative="1">
      <w:start w:val="1"/>
      <w:numFmt w:val="decimal"/>
      <w:lvlText w:val="%9."/>
      <w:lvlJc w:val="left"/>
      <w:pPr>
        <w:tabs>
          <w:tab w:val="num" w:pos="6480"/>
        </w:tabs>
        <w:ind w:left="6480" w:hanging="360"/>
      </w:pPr>
    </w:lvl>
  </w:abstractNum>
  <w:abstractNum w:abstractNumId="5">
    <w:nsid w:val="0A906CCB"/>
    <w:multiLevelType w:val="hybridMultilevel"/>
    <w:tmpl w:val="13005614"/>
    <w:lvl w:ilvl="0" w:tplc="A85E8CC4">
      <w:start w:val="4"/>
      <w:numFmt w:val="decimal"/>
      <w:lvlText w:val="%1."/>
      <w:lvlJc w:val="left"/>
      <w:pPr>
        <w:tabs>
          <w:tab w:val="num" w:pos="720"/>
        </w:tabs>
        <w:ind w:left="720" w:hanging="360"/>
      </w:pPr>
    </w:lvl>
    <w:lvl w:ilvl="1" w:tplc="AFC47D46" w:tentative="1">
      <w:start w:val="1"/>
      <w:numFmt w:val="decimal"/>
      <w:lvlText w:val="%2."/>
      <w:lvlJc w:val="left"/>
      <w:pPr>
        <w:tabs>
          <w:tab w:val="num" w:pos="1440"/>
        </w:tabs>
        <w:ind w:left="1440" w:hanging="360"/>
      </w:pPr>
    </w:lvl>
    <w:lvl w:ilvl="2" w:tplc="559823AE" w:tentative="1">
      <w:start w:val="1"/>
      <w:numFmt w:val="decimal"/>
      <w:lvlText w:val="%3."/>
      <w:lvlJc w:val="left"/>
      <w:pPr>
        <w:tabs>
          <w:tab w:val="num" w:pos="2160"/>
        </w:tabs>
        <w:ind w:left="2160" w:hanging="360"/>
      </w:pPr>
    </w:lvl>
    <w:lvl w:ilvl="3" w:tplc="2744BFD6" w:tentative="1">
      <w:start w:val="1"/>
      <w:numFmt w:val="decimal"/>
      <w:lvlText w:val="%4."/>
      <w:lvlJc w:val="left"/>
      <w:pPr>
        <w:tabs>
          <w:tab w:val="num" w:pos="2880"/>
        </w:tabs>
        <w:ind w:left="2880" w:hanging="360"/>
      </w:pPr>
    </w:lvl>
    <w:lvl w:ilvl="4" w:tplc="28A215BC" w:tentative="1">
      <w:start w:val="1"/>
      <w:numFmt w:val="decimal"/>
      <w:lvlText w:val="%5."/>
      <w:lvlJc w:val="left"/>
      <w:pPr>
        <w:tabs>
          <w:tab w:val="num" w:pos="3600"/>
        </w:tabs>
        <w:ind w:left="3600" w:hanging="360"/>
      </w:pPr>
    </w:lvl>
    <w:lvl w:ilvl="5" w:tplc="322C3B08" w:tentative="1">
      <w:start w:val="1"/>
      <w:numFmt w:val="decimal"/>
      <w:lvlText w:val="%6."/>
      <w:lvlJc w:val="left"/>
      <w:pPr>
        <w:tabs>
          <w:tab w:val="num" w:pos="4320"/>
        </w:tabs>
        <w:ind w:left="4320" w:hanging="360"/>
      </w:pPr>
    </w:lvl>
    <w:lvl w:ilvl="6" w:tplc="20BAD620" w:tentative="1">
      <w:start w:val="1"/>
      <w:numFmt w:val="decimal"/>
      <w:lvlText w:val="%7."/>
      <w:lvlJc w:val="left"/>
      <w:pPr>
        <w:tabs>
          <w:tab w:val="num" w:pos="5040"/>
        </w:tabs>
        <w:ind w:left="5040" w:hanging="360"/>
      </w:pPr>
    </w:lvl>
    <w:lvl w:ilvl="7" w:tplc="2E747B4E" w:tentative="1">
      <w:start w:val="1"/>
      <w:numFmt w:val="decimal"/>
      <w:lvlText w:val="%8."/>
      <w:lvlJc w:val="left"/>
      <w:pPr>
        <w:tabs>
          <w:tab w:val="num" w:pos="5760"/>
        </w:tabs>
        <w:ind w:left="5760" w:hanging="360"/>
      </w:pPr>
    </w:lvl>
    <w:lvl w:ilvl="8" w:tplc="DDBC1A4A" w:tentative="1">
      <w:start w:val="1"/>
      <w:numFmt w:val="decimal"/>
      <w:lvlText w:val="%9."/>
      <w:lvlJc w:val="left"/>
      <w:pPr>
        <w:tabs>
          <w:tab w:val="num" w:pos="6480"/>
        </w:tabs>
        <w:ind w:left="6480" w:hanging="360"/>
      </w:pPr>
    </w:lvl>
  </w:abstractNum>
  <w:abstractNum w:abstractNumId="6">
    <w:nsid w:val="0DC56BA3"/>
    <w:multiLevelType w:val="hybridMultilevel"/>
    <w:tmpl w:val="B0C892D8"/>
    <w:lvl w:ilvl="0" w:tplc="69AC498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1581C90"/>
    <w:multiLevelType w:val="hybridMultilevel"/>
    <w:tmpl w:val="F932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F610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7B7A92"/>
    <w:multiLevelType w:val="multilevel"/>
    <w:tmpl w:val="B30C70CE"/>
    <w:lvl w:ilvl="0">
      <w:start w:val="1"/>
      <w:numFmt w:val="lowerLetter"/>
      <w:lvlText w:val="%1)"/>
      <w:lvlJc w:val="left"/>
      <w:pPr>
        <w:tabs>
          <w:tab w:val="num" w:pos="36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8716E1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88B4449"/>
    <w:multiLevelType w:val="multilevel"/>
    <w:tmpl w:val="82E63F9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D8B070D"/>
    <w:multiLevelType w:val="hybridMultilevel"/>
    <w:tmpl w:val="67A0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D84134"/>
    <w:multiLevelType w:val="hybridMultilevel"/>
    <w:tmpl w:val="6C0800F8"/>
    <w:lvl w:ilvl="0" w:tplc="08090017">
      <w:start w:val="1"/>
      <w:numFmt w:val="lowerLetter"/>
      <w:lvlText w:val="%1)"/>
      <w:lvlJc w:val="left"/>
      <w:pPr>
        <w:tabs>
          <w:tab w:val="num" w:pos="720"/>
        </w:tabs>
        <w:ind w:left="720" w:hanging="360"/>
      </w:pPr>
    </w:lvl>
    <w:lvl w:ilvl="1" w:tplc="69567974" w:tentative="1">
      <w:start w:val="1"/>
      <w:numFmt w:val="decimal"/>
      <w:lvlText w:val="%2."/>
      <w:lvlJc w:val="left"/>
      <w:pPr>
        <w:tabs>
          <w:tab w:val="num" w:pos="1440"/>
        </w:tabs>
        <w:ind w:left="1440" w:hanging="360"/>
      </w:pPr>
    </w:lvl>
    <w:lvl w:ilvl="2" w:tplc="E1C4DEC0" w:tentative="1">
      <w:start w:val="1"/>
      <w:numFmt w:val="decimal"/>
      <w:lvlText w:val="%3."/>
      <w:lvlJc w:val="left"/>
      <w:pPr>
        <w:tabs>
          <w:tab w:val="num" w:pos="2160"/>
        </w:tabs>
        <w:ind w:left="2160" w:hanging="360"/>
      </w:pPr>
    </w:lvl>
    <w:lvl w:ilvl="3" w:tplc="179E648E" w:tentative="1">
      <w:start w:val="1"/>
      <w:numFmt w:val="decimal"/>
      <w:lvlText w:val="%4."/>
      <w:lvlJc w:val="left"/>
      <w:pPr>
        <w:tabs>
          <w:tab w:val="num" w:pos="2880"/>
        </w:tabs>
        <w:ind w:left="2880" w:hanging="360"/>
      </w:pPr>
    </w:lvl>
    <w:lvl w:ilvl="4" w:tplc="3988827C" w:tentative="1">
      <w:start w:val="1"/>
      <w:numFmt w:val="decimal"/>
      <w:lvlText w:val="%5."/>
      <w:lvlJc w:val="left"/>
      <w:pPr>
        <w:tabs>
          <w:tab w:val="num" w:pos="3600"/>
        </w:tabs>
        <w:ind w:left="3600" w:hanging="360"/>
      </w:pPr>
    </w:lvl>
    <w:lvl w:ilvl="5" w:tplc="45E25F1E" w:tentative="1">
      <w:start w:val="1"/>
      <w:numFmt w:val="decimal"/>
      <w:lvlText w:val="%6."/>
      <w:lvlJc w:val="left"/>
      <w:pPr>
        <w:tabs>
          <w:tab w:val="num" w:pos="4320"/>
        </w:tabs>
        <w:ind w:left="4320" w:hanging="360"/>
      </w:pPr>
    </w:lvl>
    <w:lvl w:ilvl="6" w:tplc="78467A9C" w:tentative="1">
      <w:start w:val="1"/>
      <w:numFmt w:val="decimal"/>
      <w:lvlText w:val="%7."/>
      <w:lvlJc w:val="left"/>
      <w:pPr>
        <w:tabs>
          <w:tab w:val="num" w:pos="5040"/>
        </w:tabs>
        <w:ind w:left="5040" w:hanging="360"/>
      </w:pPr>
    </w:lvl>
    <w:lvl w:ilvl="7" w:tplc="1BD05FFC" w:tentative="1">
      <w:start w:val="1"/>
      <w:numFmt w:val="decimal"/>
      <w:lvlText w:val="%8."/>
      <w:lvlJc w:val="left"/>
      <w:pPr>
        <w:tabs>
          <w:tab w:val="num" w:pos="5760"/>
        </w:tabs>
        <w:ind w:left="5760" w:hanging="360"/>
      </w:pPr>
    </w:lvl>
    <w:lvl w:ilvl="8" w:tplc="DC381514" w:tentative="1">
      <w:start w:val="1"/>
      <w:numFmt w:val="decimal"/>
      <w:lvlText w:val="%9."/>
      <w:lvlJc w:val="left"/>
      <w:pPr>
        <w:tabs>
          <w:tab w:val="num" w:pos="6480"/>
        </w:tabs>
        <w:ind w:left="6480" w:hanging="360"/>
      </w:pPr>
    </w:lvl>
  </w:abstractNum>
  <w:abstractNum w:abstractNumId="14">
    <w:nsid w:val="2DE60793"/>
    <w:multiLevelType w:val="multilevel"/>
    <w:tmpl w:val="B30C70CE"/>
    <w:lvl w:ilvl="0">
      <w:start w:val="1"/>
      <w:numFmt w:val="lowerLetter"/>
      <w:lvlText w:val="%1)"/>
      <w:lvlJc w:val="left"/>
      <w:pPr>
        <w:tabs>
          <w:tab w:val="num" w:pos="36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E9C502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4322525"/>
    <w:multiLevelType w:val="hybridMultilevel"/>
    <w:tmpl w:val="4DBEE53E"/>
    <w:lvl w:ilvl="0" w:tplc="08090017">
      <w:start w:val="1"/>
      <w:numFmt w:val="lowerLetter"/>
      <w:lvlText w:val="%1)"/>
      <w:lvlJc w:val="left"/>
      <w:pPr>
        <w:tabs>
          <w:tab w:val="num" w:pos="720"/>
        </w:tabs>
        <w:ind w:left="720" w:hanging="360"/>
      </w:pPr>
    </w:lvl>
    <w:lvl w:ilvl="1" w:tplc="A3EC1F34">
      <w:start w:val="1"/>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360"/>
      </w:pPr>
    </w:lvl>
    <w:lvl w:ilvl="3" w:tplc="0AFCE7AA" w:tentative="1">
      <w:start w:val="1"/>
      <w:numFmt w:val="decimal"/>
      <w:lvlText w:val="%4)"/>
      <w:lvlJc w:val="left"/>
      <w:pPr>
        <w:tabs>
          <w:tab w:val="num" w:pos="2880"/>
        </w:tabs>
        <w:ind w:left="2880" w:hanging="360"/>
      </w:pPr>
    </w:lvl>
    <w:lvl w:ilvl="4" w:tplc="181A159A" w:tentative="1">
      <w:start w:val="1"/>
      <w:numFmt w:val="decimal"/>
      <w:lvlText w:val="%5)"/>
      <w:lvlJc w:val="left"/>
      <w:pPr>
        <w:tabs>
          <w:tab w:val="num" w:pos="3600"/>
        </w:tabs>
        <w:ind w:left="3600" w:hanging="360"/>
      </w:pPr>
    </w:lvl>
    <w:lvl w:ilvl="5" w:tplc="03B8F474" w:tentative="1">
      <w:start w:val="1"/>
      <w:numFmt w:val="decimal"/>
      <w:lvlText w:val="%6)"/>
      <w:lvlJc w:val="left"/>
      <w:pPr>
        <w:tabs>
          <w:tab w:val="num" w:pos="4320"/>
        </w:tabs>
        <w:ind w:left="4320" w:hanging="360"/>
      </w:pPr>
    </w:lvl>
    <w:lvl w:ilvl="6" w:tplc="B5B20EA0" w:tentative="1">
      <w:start w:val="1"/>
      <w:numFmt w:val="decimal"/>
      <w:lvlText w:val="%7)"/>
      <w:lvlJc w:val="left"/>
      <w:pPr>
        <w:tabs>
          <w:tab w:val="num" w:pos="5040"/>
        </w:tabs>
        <w:ind w:left="5040" w:hanging="360"/>
      </w:pPr>
    </w:lvl>
    <w:lvl w:ilvl="7" w:tplc="8780E12C" w:tentative="1">
      <w:start w:val="1"/>
      <w:numFmt w:val="decimal"/>
      <w:lvlText w:val="%8)"/>
      <w:lvlJc w:val="left"/>
      <w:pPr>
        <w:tabs>
          <w:tab w:val="num" w:pos="5760"/>
        </w:tabs>
        <w:ind w:left="5760" w:hanging="360"/>
      </w:pPr>
    </w:lvl>
    <w:lvl w:ilvl="8" w:tplc="FD8C8C92" w:tentative="1">
      <w:start w:val="1"/>
      <w:numFmt w:val="decimal"/>
      <w:lvlText w:val="%9)"/>
      <w:lvlJc w:val="left"/>
      <w:pPr>
        <w:tabs>
          <w:tab w:val="num" w:pos="6480"/>
        </w:tabs>
        <w:ind w:left="6480" w:hanging="360"/>
      </w:pPr>
    </w:lvl>
  </w:abstractNum>
  <w:abstractNum w:abstractNumId="17">
    <w:nsid w:val="3A1B619D"/>
    <w:multiLevelType w:val="multilevel"/>
    <w:tmpl w:val="84A096E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CC34426"/>
    <w:multiLevelType w:val="multilevel"/>
    <w:tmpl w:val="337453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1C15772"/>
    <w:multiLevelType w:val="hybridMultilevel"/>
    <w:tmpl w:val="11AE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0B2515"/>
    <w:multiLevelType w:val="hybridMultilevel"/>
    <w:tmpl w:val="B9AE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3F63B1"/>
    <w:multiLevelType w:val="hybridMultilevel"/>
    <w:tmpl w:val="9254409A"/>
    <w:lvl w:ilvl="0" w:tplc="08090017">
      <w:start w:val="1"/>
      <w:numFmt w:val="lowerLetter"/>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682CF7EE">
      <w:start w:val="1"/>
      <w:numFmt w:val="upperRoman"/>
      <w:lvlText w:val="%3."/>
      <w:lvlJc w:val="right"/>
      <w:pPr>
        <w:tabs>
          <w:tab w:val="num" w:pos="2160"/>
        </w:tabs>
        <w:ind w:left="2160" w:hanging="360"/>
      </w:pPr>
    </w:lvl>
    <w:lvl w:ilvl="3" w:tplc="0AFCE7AA" w:tentative="1">
      <w:start w:val="1"/>
      <w:numFmt w:val="decimal"/>
      <w:lvlText w:val="%4)"/>
      <w:lvlJc w:val="left"/>
      <w:pPr>
        <w:tabs>
          <w:tab w:val="num" w:pos="2880"/>
        </w:tabs>
        <w:ind w:left="2880" w:hanging="360"/>
      </w:pPr>
    </w:lvl>
    <w:lvl w:ilvl="4" w:tplc="181A159A" w:tentative="1">
      <w:start w:val="1"/>
      <w:numFmt w:val="decimal"/>
      <w:lvlText w:val="%5)"/>
      <w:lvlJc w:val="left"/>
      <w:pPr>
        <w:tabs>
          <w:tab w:val="num" w:pos="3600"/>
        </w:tabs>
        <w:ind w:left="3600" w:hanging="360"/>
      </w:pPr>
    </w:lvl>
    <w:lvl w:ilvl="5" w:tplc="03B8F474" w:tentative="1">
      <w:start w:val="1"/>
      <w:numFmt w:val="decimal"/>
      <w:lvlText w:val="%6)"/>
      <w:lvlJc w:val="left"/>
      <w:pPr>
        <w:tabs>
          <w:tab w:val="num" w:pos="4320"/>
        </w:tabs>
        <w:ind w:left="4320" w:hanging="360"/>
      </w:pPr>
    </w:lvl>
    <w:lvl w:ilvl="6" w:tplc="B5B20EA0" w:tentative="1">
      <w:start w:val="1"/>
      <w:numFmt w:val="decimal"/>
      <w:lvlText w:val="%7)"/>
      <w:lvlJc w:val="left"/>
      <w:pPr>
        <w:tabs>
          <w:tab w:val="num" w:pos="5040"/>
        </w:tabs>
        <w:ind w:left="5040" w:hanging="360"/>
      </w:pPr>
    </w:lvl>
    <w:lvl w:ilvl="7" w:tplc="8780E12C" w:tentative="1">
      <w:start w:val="1"/>
      <w:numFmt w:val="decimal"/>
      <w:lvlText w:val="%8)"/>
      <w:lvlJc w:val="left"/>
      <w:pPr>
        <w:tabs>
          <w:tab w:val="num" w:pos="5760"/>
        </w:tabs>
        <w:ind w:left="5760" w:hanging="360"/>
      </w:pPr>
    </w:lvl>
    <w:lvl w:ilvl="8" w:tplc="FD8C8C92" w:tentative="1">
      <w:start w:val="1"/>
      <w:numFmt w:val="decimal"/>
      <w:lvlText w:val="%9)"/>
      <w:lvlJc w:val="left"/>
      <w:pPr>
        <w:tabs>
          <w:tab w:val="num" w:pos="6480"/>
        </w:tabs>
        <w:ind w:left="6480" w:hanging="360"/>
      </w:pPr>
    </w:lvl>
  </w:abstractNum>
  <w:abstractNum w:abstractNumId="22">
    <w:nsid w:val="45905648"/>
    <w:multiLevelType w:val="hybridMultilevel"/>
    <w:tmpl w:val="8F1A5E8E"/>
    <w:lvl w:ilvl="0" w:tplc="E8EC4FDA">
      <w:start w:val="1"/>
      <w:numFmt w:val="decimal"/>
      <w:lvlText w:val="%1."/>
      <w:lvlJc w:val="left"/>
      <w:pPr>
        <w:tabs>
          <w:tab w:val="num" w:pos="720"/>
        </w:tabs>
        <w:ind w:left="720" w:hanging="360"/>
      </w:pPr>
    </w:lvl>
    <w:lvl w:ilvl="1" w:tplc="CC7C55EC" w:tentative="1">
      <w:start w:val="1"/>
      <w:numFmt w:val="decimal"/>
      <w:lvlText w:val="%2."/>
      <w:lvlJc w:val="left"/>
      <w:pPr>
        <w:tabs>
          <w:tab w:val="num" w:pos="1440"/>
        </w:tabs>
        <w:ind w:left="1440" w:hanging="360"/>
      </w:pPr>
    </w:lvl>
    <w:lvl w:ilvl="2" w:tplc="AF56FBAE" w:tentative="1">
      <w:start w:val="1"/>
      <w:numFmt w:val="decimal"/>
      <w:lvlText w:val="%3."/>
      <w:lvlJc w:val="left"/>
      <w:pPr>
        <w:tabs>
          <w:tab w:val="num" w:pos="2160"/>
        </w:tabs>
        <w:ind w:left="2160" w:hanging="360"/>
      </w:pPr>
    </w:lvl>
    <w:lvl w:ilvl="3" w:tplc="DDF806AE" w:tentative="1">
      <w:start w:val="1"/>
      <w:numFmt w:val="decimal"/>
      <w:lvlText w:val="%4."/>
      <w:lvlJc w:val="left"/>
      <w:pPr>
        <w:tabs>
          <w:tab w:val="num" w:pos="2880"/>
        </w:tabs>
        <w:ind w:left="2880" w:hanging="360"/>
      </w:pPr>
    </w:lvl>
    <w:lvl w:ilvl="4" w:tplc="92DC704A" w:tentative="1">
      <w:start w:val="1"/>
      <w:numFmt w:val="decimal"/>
      <w:lvlText w:val="%5."/>
      <w:lvlJc w:val="left"/>
      <w:pPr>
        <w:tabs>
          <w:tab w:val="num" w:pos="3600"/>
        </w:tabs>
        <w:ind w:left="3600" w:hanging="360"/>
      </w:pPr>
    </w:lvl>
    <w:lvl w:ilvl="5" w:tplc="48C043B4" w:tentative="1">
      <w:start w:val="1"/>
      <w:numFmt w:val="decimal"/>
      <w:lvlText w:val="%6."/>
      <w:lvlJc w:val="left"/>
      <w:pPr>
        <w:tabs>
          <w:tab w:val="num" w:pos="4320"/>
        </w:tabs>
        <w:ind w:left="4320" w:hanging="360"/>
      </w:pPr>
    </w:lvl>
    <w:lvl w:ilvl="6" w:tplc="A888DFE2" w:tentative="1">
      <w:start w:val="1"/>
      <w:numFmt w:val="decimal"/>
      <w:lvlText w:val="%7."/>
      <w:lvlJc w:val="left"/>
      <w:pPr>
        <w:tabs>
          <w:tab w:val="num" w:pos="5040"/>
        </w:tabs>
        <w:ind w:left="5040" w:hanging="360"/>
      </w:pPr>
    </w:lvl>
    <w:lvl w:ilvl="7" w:tplc="6426A00E" w:tentative="1">
      <w:start w:val="1"/>
      <w:numFmt w:val="decimal"/>
      <w:lvlText w:val="%8."/>
      <w:lvlJc w:val="left"/>
      <w:pPr>
        <w:tabs>
          <w:tab w:val="num" w:pos="5760"/>
        </w:tabs>
        <w:ind w:left="5760" w:hanging="360"/>
      </w:pPr>
    </w:lvl>
    <w:lvl w:ilvl="8" w:tplc="AB346B14" w:tentative="1">
      <w:start w:val="1"/>
      <w:numFmt w:val="decimal"/>
      <w:lvlText w:val="%9."/>
      <w:lvlJc w:val="left"/>
      <w:pPr>
        <w:tabs>
          <w:tab w:val="num" w:pos="6480"/>
        </w:tabs>
        <w:ind w:left="6480" w:hanging="360"/>
      </w:pPr>
    </w:lvl>
  </w:abstractNum>
  <w:abstractNum w:abstractNumId="23">
    <w:nsid w:val="4798441E"/>
    <w:multiLevelType w:val="hybridMultilevel"/>
    <w:tmpl w:val="B93471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7F21AA"/>
    <w:multiLevelType w:val="multilevel"/>
    <w:tmpl w:val="7A6E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E6AD8"/>
    <w:multiLevelType w:val="hybridMultilevel"/>
    <w:tmpl w:val="91C0FECA"/>
    <w:lvl w:ilvl="0" w:tplc="340C19BC">
      <w:start w:val="4"/>
      <w:numFmt w:val="decimal"/>
      <w:lvlText w:val="%1)"/>
      <w:lvlJc w:val="left"/>
      <w:pPr>
        <w:ind w:left="720" w:hanging="360"/>
      </w:pPr>
      <w:rPr>
        <w:rFonts w:hint="default"/>
      </w:rPr>
    </w:lvl>
    <w:lvl w:ilvl="1" w:tplc="861C857A" w:tentative="1">
      <w:start w:val="1"/>
      <w:numFmt w:val="lowerLetter"/>
      <w:lvlText w:val="%2."/>
      <w:lvlJc w:val="left"/>
      <w:pPr>
        <w:ind w:left="1440" w:hanging="360"/>
      </w:pPr>
    </w:lvl>
    <w:lvl w:ilvl="2" w:tplc="20E67ABC" w:tentative="1">
      <w:start w:val="1"/>
      <w:numFmt w:val="lowerRoman"/>
      <w:lvlText w:val="%3."/>
      <w:lvlJc w:val="right"/>
      <w:pPr>
        <w:ind w:left="2160" w:hanging="180"/>
      </w:pPr>
    </w:lvl>
    <w:lvl w:ilvl="3" w:tplc="FCC82398" w:tentative="1">
      <w:start w:val="1"/>
      <w:numFmt w:val="decimal"/>
      <w:lvlText w:val="%4."/>
      <w:lvlJc w:val="left"/>
      <w:pPr>
        <w:ind w:left="2880" w:hanging="360"/>
      </w:pPr>
    </w:lvl>
    <w:lvl w:ilvl="4" w:tplc="D39C8312" w:tentative="1">
      <w:start w:val="1"/>
      <w:numFmt w:val="lowerLetter"/>
      <w:lvlText w:val="%5."/>
      <w:lvlJc w:val="left"/>
      <w:pPr>
        <w:ind w:left="3600" w:hanging="360"/>
      </w:pPr>
    </w:lvl>
    <w:lvl w:ilvl="5" w:tplc="EE5002E6" w:tentative="1">
      <w:start w:val="1"/>
      <w:numFmt w:val="lowerRoman"/>
      <w:lvlText w:val="%6."/>
      <w:lvlJc w:val="right"/>
      <w:pPr>
        <w:ind w:left="4320" w:hanging="180"/>
      </w:pPr>
    </w:lvl>
    <w:lvl w:ilvl="6" w:tplc="AC46AF08" w:tentative="1">
      <w:start w:val="1"/>
      <w:numFmt w:val="decimal"/>
      <w:lvlText w:val="%7."/>
      <w:lvlJc w:val="left"/>
      <w:pPr>
        <w:ind w:left="5040" w:hanging="360"/>
      </w:pPr>
    </w:lvl>
    <w:lvl w:ilvl="7" w:tplc="3B827586" w:tentative="1">
      <w:start w:val="1"/>
      <w:numFmt w:val="lowerLetter"/>
      <w:lvlText w:val="%8."/>
      <w:lvlJc w:val="left"/>
      <w:pPr>
        <w:ind w:left="5760" w:hanging="360"/>
      </w:pPr>
    </w:lvl>
    <w:lvl w:ilvl="8" w:tplc="133C301C" w:tentative="1">
      <w:start w:val="1"/>
      <w:numFmt w:val="lowerRoman"/>
      <w:lvlText w:val="%9."/>
      <w:lvlJc w:val="right"/>
      <w:pPr>
        <w:ind w:left="6480" w:hanging="180"/>
      </w:pPr>
    </w:lvl>
  </w:abstractNum>
  <w:abstractNum w:abstractNumId="26">
    <w:nsid w:val="508075F1"/>
    <w:multiLevelType w:val="hybridMultilevel"/>
    <w:tmpl w:val="14B49F68"/>
    <w:lvl w:ilvl="0" w:tplc="08090011">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11C6589"/>
    <w:multiLevelType w:val="hybridMultilevel"/>
    <w:tmpl w:val="1FA67280"/>
    <w:lvl w:ilvl="0" w:tplc="08090011">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Letter"/>
      <w:lvlText w:val="%3)"/>
      <w:lvlJc w:val="left"/>
      <w:pPr>
        <w:tabs>
          <w:tab w:val="num" w:pos="2160"/>
        </w:tabs>
        <w:ind w:left="2160" w:hanging="360"/>
      </w:pPr>
    </w:lvl>
    <w:lvl w:ilvl="3" w:tplc="0809000F" w:tentative="1">
      <w:start w:val="1"/>
      <w:numFmt w:val="lowerLetter"/>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Letter"/>
      <w:lvlText w:val="%6)"/>
      <w:lvlJc w:val="left"/>
      <w:pPr>
        <w:tabs>
          <w:tab w:val="num" w:pos="4320"/>
        </w:tabs>
        <w:ind w:left="4320" w:hanging="360"/>
      </w:pPr>
    </w:lvl>
    <w:lvl w:ilvl="6" w:tplc="0809000F" w:tentative="1">
      <w:start w:val="1"/>
      <w:numFmt w:val="lowerLetter"/>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Letter"/>
      <w:lvlText w:val="%9)"/>
      <w:lvlJc w:val="left"/>
      <w:pPr>
        <w:tabs>
          <w:tab w:val="num" w:pos="6480"/>
        </w:tabs>
        <w:ind w:left="6480" w:hanging="360"/>
      </w:pPr>
    </w:lvl>
  </w:abstractNum>
  <w:abstractNum w:abstractNumId="28">
    <w:nsid w:val="58FF02F9"/>
    <w:multiLevelType w:val="multilevel"/>
    <w:tmpl w:val="B30C70CE"/>
    <w:lvl w:ilvl="0">
      <w:start w:val="1"/>
      <w:numFmt w:val="lowerLetter"/>
      <w:lvlText w:val="%1)"/>
      <w:lvlJc w:val="left"/>
      <w:pPr>
        <w:tabs>
          <w:tab w:val="num" w:pos="36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B30058B"/>
    <w:multiLevelType w:val="hybridMultilevel"/>
    <w:tmpl w:val="2AFED25A"/>
    <w:lvl w:ilvl="0" w:tplc="145C4EC6">
      <w:start w:val="1"/>
      <w:numFmt w:val="lowerLetter"/>
      <w:lvlText w:val="%1)"/>
      <w:lvlJc w:val="left"/>
      <w:pPr>
        <w:tabs>
          <w:tab w:val="num" w:pos="720"/>
        </w:tabs>
        <w:ind w:left="720" w:hanging="360"/>
      </w:pPr>
    </w:lvl>
    <w:lvl w:ilvl="1" w:tplc="63F405F8">
      <w:start w:val="1"/>
      <w:numFmt w:val="decimal"/>
      <w:lvlText w:val="%2)"/>
      <w:lvlJc w:val="left"/>
      <w:pPr>
        <w:tabs>
          <w:tab w:val="num" w:pos="1440"/>
        </w:tabs>
        <w:ind w:left="1440" w:hanging="360"/>
      </w:pPr>
    </w:lvl>
    <w:lvl w:ilvl="2" w:tplc="6FE643D4">
      <w:start w:val="1"/>
      <w:numFmt w:val="upperRoman"/>
      <w:lvlText w:val="%3."/>
      <w:lvlJc w:val="right"/>
      <w:pPr>
        <w:tabs>
          <w:tab w:val="num" w:pos="2160"/>
        </w:tabs>
        <w:ind w:left="2160" w:hanging="360"/>
      </w:pPr>
    </w:lvl>
    <w:lvl w:ilvl="3" w:tplc="6FE8A782" w:tentative="1">
      <w:start w:val="1"/>
      <w:numFmt w:val="decimal"/>
      <w:lvlText w:val="%4)"/>
      <w:lvlJc w:val="left"/>
      <w:pPr>
        <w:tabs>
          <w:tab w:val="num" w:pos="2880"/>
        </w:tabs>
        <w:ind w:left="2880" w:hanging="360"/>
      </w:pPr>
    </w:lvl>
    <w:lvl w:ilvl="4" w:tplc="9EB4EEAE" w:tentative="1">
      <w:start w:val="1"/>
      <w:numFmt w:val="decimal"/>
      <w:lvlText w:val="%5)"/>
      <w:lvlJc w:val="left"/>
      <w:pPr>
        <w:tabs>
          <w:tab w:val="num" w:pos="3600"/>
        </w:tabs>
        <w:ind w:left="3600" w:hanging="360"/>
      </w:pPr>
    </w:lvl>
    <w:lvl w:ilvl="5" w:tplc="496C0A70" w:tentative="1">
      <w:start w:val="1"/>
      <w:numFmt w:val="decimal"/>
      <w:lvlText w:val="%6)"/>
      <w:lvlJc w:val="left"/>
      <w:pPr>
        <w:tabs>
          <w:tab w:val="num" w:pos="4320"/>
        </w:tabs>
        <w:ind w:left="4320" w:hanging="360"/>
      </w:pPr>
    </w:lvl>
    <w:lvl w:ilvl="6" w:tplc="D9FE9EA6" w:tentative="1">
      <w:start w:val="1"/>
      <w:numFmt w:val="decimal"/>
      <w:lvlText w:val="%7)"/>
      <w:lvlJc w:val="left"/>
      <w:pPr>
        <w:tabs>
          <w:tab w:val="num" w:pos="5040"/>
        </w:tabs>
        <w:ind w:left="5040" w:hanging="360"/>
      </w:pPr>
    </w:lvl>
    <w:lvl w:ilvl="7" w:tplc="CCBA8A6C" w:tentative="1">
      <w:start w:val="1"/>
      <w:numFmt w:val="decimal"/>
      <w:lvlText w:val="%8)"/>
      <w:lvlJc w:val="left"/>
      <w:pPr>
        <w:tabs>
          <w:tab w:val="num" w:pos="5760"/>
        </w:tabs>
        <w:ind w:left="5760" w:hanging="360"/>
      </w:pPr>
    </w:lvl>
    <w:lvl w:ilvl="8" w:tplc="F3628CA0" w:tentative="1">
      <w:start w:val="1"/>
      <w:numFmt w:val="decimal"/>
      <w:lvlText w:val="%9)"/>
      <w:lvlJc w:val="left"/>
      <w:pPr>
        <w:tabs>
          <w:tab w:val="num" w:pos="6480"/>
        </w:tabs>
        <w:ind w:left="6480" w:hanging="360"/>
      </w:pPr>
    </w:lvl>
  </w:abstractNum>
  <w:abstractNum w:abstractNumId="30">
    <w:nsid w:val="5D7B010E"/>
    <w:multiLevelType w:val="hybridMultilevel"/>
    <w:tmpl w:val="2BEC4956"/>
    <w:lvl w:ilvl="0" w:tplc="E4424F6C">
      <w:start w:val="1"/>
      <w:numFmt w:val="bullet"/>
      <w:lvlText w:val="•"/>
      <w:lvlJc w:val="left"/>
      <w:pPr>
        <w:tabs>
          <w:tab w:val="num" w:pos="720"/>
        </w:tabs>
        <w:ind w:left="720" w:hanging="360"/>
      </w:pPr>
      <w:rPr>
        <w:rFonts w:ascii="Arial" w:hAnsi="Arial" w:hint="default"/>
      </w:rPr>
    </w:lvl>
    <w:lvl w:ilvl="1" w:tplc="4BAC8CA4" w:tentative="1">
      <w:start w:val="1"/>
      <w:numFmt w:val="bullet"/>
      <w:lvlText w:val="•"/>
      <w:lvlJc w:val="left"/>
      <w:pPr>
        <w:tabs>
          <w:tab w:val="num" w:pos="1440"/>
        </w:tabs>
        <w:ind w:left="1440" w:hanging="360"/>
      </w:pPr>
      <w:rPr>
        <w:rFonts w:ascii="Arial" w:hAnsi="Arial" w:hint="default"/>
      </w:rPr>
    </w:lvl>
    <w:lvl w:ilvl="2" w:tplc="076E7D4E" w:tentative="1">
      <w:start w:val="1"/>
      <w:numFmt w:val="bullet"/>
      <w:lvlText w:val="•"/>
      <w:lvlJc w:val="left"/>
      <w:pPr>
        <w:tabs>
          <w:tab w:val="num" w:pos="2160"/>
        </w:tabs>
        <w:ind w:left="2160" w:hanging="360"/>
      </w:pPr>
      <w:rPr>
        <w:rFonts w:ascii="Arial" w:hAnsi="Arial" w:hint="default"/>
      </w:rPr>
    </w:lvl>
    <w:lvl w:ilvl="3" w:tplc="B06C9DF4" w:tentative="1">
      <w:start w:val="1"/>
      <w:numFmt w:val="bullet"/>
      <w:lvlText w:val="•"/>
      <w:lvlJc w:val="left"/>
      <w:pPr>
        <w:tabs>
          <w:tab w:val="num" w:pos="2880"/>
        </w:tabs>
        <w:ind w:left="2880" w:hanging="360"/>
      </w:pPr>
      <w:rPr>
        <w:rFonts w:ascii="Arial" w:hAnsi="Arial" w:hint="default"/>
      </w:rPr>
    </w:lvl>
    <w:lvl w:ilvl="4" w:tplc="1A6AD212" w:tentative="1">
      <w:start w:val="1"/>
      <w:numFmt w:val="bullet"/>
      <w:lvlText w:val="•"/>
      <w:lvlJc w:val="left"/>
      <w:pPr>
        <w:tabs>
          <w:tab w:val="num" w:pos="3600"/>
        </w:tabs>
        <w:ind w:left="3600" w:hanging="360"/>
      </w:pPr>
      <w:rPr>
        <w:rFonts w:ascii="Arial" w:hAnsi="Arial" w:hint="default"/>
      </w:rPr>
    </w:lvl>
    <w:lvl w:ilvl="5" w:tplc="8E1651C0" w:tentative="1">
      <w:start w:val="1"/>
      <w:numFmt w:val="bullet"/>
      <w:lvlText w:val="•"/>
      <w:lvlJc w:val="left"/>
      <w:pPr>
        <w:tabs>
          <w:tab w:val="num" w:pos="4320"/>
        </w:tabs>
        <w:ind w:left="4320" w:hanging="360"/>
      </w:pPr>
      <w:rPr>
        <w:rFonts w:ascii="Arial" w:hAnsi="Arial" w:hint="default"/>
      </w:rPr>
    </w:lvl>
    <w:lvl w:ilvl="6" w:tplc="9252F9DA" w:tentative="1">
      <w:start w:val="1"/>
      <w:numFmt w:val="bullet"/>
      <w:lvlText w:val="•"/>
      <w:lvlJc w:val="left"/>
      <w:pPr>
        <w:tabs>
          <w:tab w:val="num" w:pos="5040"/>
        </w:tabs>
        <w:ind w:left="5040" w:hanging="360"/>
      </w:pPr>
      <w:rPr>
        <w:rFonts w:ascii="Arial" w:hAnsi="Arial" w:hint="default"/>
      </w:rPr>
    </w:lvl>
    <w:lvl w:ilvl="7" w:tplc="B7085CAA" w:tentative="1">
      <w:start w:val="1"/>
      <w:numFmt w:val="bullet"/>
      <w:lvlText w:val="•"/>
      <w:lvlJc w:val="left"/>
      <w:pPr>
        <w:tabs>
          <w:tab w:val="num" w:pos="5760"/>
        </w:tabs>
        <w:ind w:left="5760" w:hanging="360"/>
      </w:pPr>
      <w:rPr>
        <w:rFonts w:ascii="Arial" w:hAnsi="Arial" w:hint="default"/>
      </w:rPr>
    </w:lvl>
    <w:lvl w:ilvl="8" w:tplc="7226BD4E" w:tentative="1">
      <w:start w:val="1"/>
      <w:numFmt w:val="bullet"/>
      <w:lvlText w:val="•"/>
      <w:lvlJc w:val="left"/>
      <w:pPr>
        <w:tabs>
          <w:tab w:val="num" w:pos="6480"/>
        </w:tabs>
        <w:ind w:left="6480" w:hanging="360"/>
      </w:pPr>
      <w:rPr>
        <w:rFonts w:ascii="Arial" w:hAnsi="Arial" w:hint="default"/>
      </w:rPr>
    </w:lvl>
  </w:abstractNum>
  <w:abstractNum w:abstractNumId="31">
    <w:nsid w:val="5DDB5D83"/>
    <w:multiLevelType w:val="hybridMultilevel"/>
    <w:tmpl w:val="3EC451B2"/>
    <w:lvl w:ilvl="0" w:tplc="08090017">
      <w:start w:val="1"/>
      <w:numFmt w:val="none"/>
      <w:pStyle w:val="Numbering2"/>
      <w:lvlText w:val="-"/>
      <w:lvlJc w:val="left"/>
      <w:pPr>
        <w:tabs>
          <w:tab w:val="num" w:pos="644"/>
        </w:tabs>
        <w:ind w:left="567" w:hanging="283"/>
      </w:pPr>
      <w:rPr>
        <w:rFonts w:ascii="Times New Roman" w:hAnsi="Times New Roman" w:cs="Times New Roman" w:hint="default"/>
      </w:rPr>
    </w:lvl>
    <w:lvl w:ilvl="1" w:tplc="A3EC1F34" w:tentative="1">
      <w:start w:val="1"/>
      <w:numFmt w:val="lowerLetter"/>
      <w:lvlText w:val="%2."/>
      <w:lvlJc w:val="left"/>
      <w:pPr>
        <w:tabs>
          <w:tab w:val="num" w:pos="1440"/>
        </w:tabs>
        <w:ind w:left="1440" w:hanging="360"/>
      </w:pPr>
    </w:lvl>
    <w:lvl w:ilvl="2" w:tplc="682CF7EE" w:tentative="1">
      <w:start w:val="1"/>
      <w:numFmt w:val="lowerRoman"/>
      <w:lvlText w:val="%3."/>
      <w:lvlJc w:val="right"/>
      <w:pPr>
        <w:tabs>
          <w:tab w:val="num" w:pos="2160"/>
        </w:tabs>
        <w:ind w:left="2160" w:hanging="180"/>
      </w:pPr>
    </w:lvl>
    <w:lvl w:ilvl="3" w:tplc="0AFCE7AA" w:tentative="1">
      <w:start w:val="1"/>
      <w:numFmt w:val="decimal"/>
      <w:lvlText w:val="%4."/>
      <w:lvlJc w:val="left"/>
      <w:pPr>
        <w:tabs>
          <w:tab w:val="num" w:pos="2880"/>
        </w:tabs>
        <w:ind w:left="2880" w:hanging="360"/>
      </w:pPr>
    </w:lvl>
    <w:lvl w:ilvl="4" w:tplc="181A159A" w:tentative="1">
      <w:start w:val="1"/>
      <w:numFmt w:val="lowerLetter"/>
      <w:lvlText w:val="%5."/>
      <w:lvlJc w:val="left"/>
      <w:pPr>
        <w:tabs>
          <w:tab w:val="num" w:pos="3600"/>
        </w:tabs>
        <w:ind w:left="3600" w:hanging="360"/>
      </w:pPr>
    </w:lvl>
    <w:lvl w:ilvl="5" w:tplc="03B8F474" w:tentative="1">
      <w:start w:val="1"/>
      <w:numFmt w:val="lowerRoman"/>
      <w:lvlText w:val="%6."/>
      <w:lvlJc w:val="right"/>
      <w:pPr>
        <w:tabs>
          <w:tab w:val="num" w:pos="4320"/>
        </w:tabs>
        <w:ind w:left="4320" w:hanging="180"/>
      </w:pPr>
    </w:lvl>
    <w:lvl w:ilvl="6" w:tplc="B5B20EA0" w:tentative="1">
      <w:start w:val="1"/>
      <w:numFmt w:val="decimal"/>
      <w:lvlText w:val="%7."/>
      <w:lvlJc w:val="left"/>
      <w:pPr>
        <w:tabs>
          <w:tab w:val="num" w:pos="5040"/>
        </w:tabs>
        <w:ind w:left="5040" w:hanging="360"/>
      </w:pPr>
    </w:lvl>
    <w:lvl w:ilvl="7" w:tplc="8780E12C" w:tentative="1">
      <w:start w:val="1"/>
      <w:numFmt w:val="lowerLetter"/>
      <w:lvlText w:val="%8."/>
      <w:lvlJc w:val="left"/>
      <w:pPr>
        <w:tabs>
          <w:tab w:val="num" w:pos="5760"/>
        </w:tabs>
        <w:ind w:left="5760" w:hanging="360"/>
      </w:pPr>
    </w:lvl>
    <w:lvl w:ilvl="8" w:tplc="FD8C8C92" w:tentative="1">
      <w:start w:val="1"/>
      <w:numFmt w:val="lowerRoman"/>
      <w:lvlText w:val="%9."/>
      <w:lvlJc w:val="right"/>
      <w:pPr>
        <w:tabs>
          <w:tab w:val="num" w:pos="6480"/>
        </w:tabs>
        <w:ind w:left="6480" w:hanging="180"/>
      </w:pPr>
    </w:lvl>
  </w:abstractNum>
  <w:abstractNum w:abstractNumId="32">
    <w:nsid w:val="5F075228"/>
    <w:multiLevelType w:val="hybridMultilevel"/>
    <w:tmpl w:val="43CE8CCC"/>
    <w:lvl w:ilvl="0" w:tplc="E1A65BBE">
      <w:start w:val="1"/>
      <w:numFmt w:val="decimal"/>
      <w:lvlText w:val="%1)"/>
      <w:lvlJc w:val="left"/>
      <w:pPr>
        <w:tabs>
          <w:tab w:val="num" w:pos="720"/>
        </w:tabs>
        <w:ind w:left="720" w:hanging="360"/>
      </w:pPr>
    </w:lvl>
    <w:lvl w:ilvl="1" w:tplc="E710064E" w:tentative="1">
      <w:start w:val="1"/>
      <w:numFmt w:val="decimal"/>
      <w:lvlText w:val="%2)"/>
      <w:lvlJc w:val="left"/>
      <w:pPr>
        <w:tabs>
          <w:tab w:val="num" w:pos="1440"/>
        </w:tabs>
        <w:ind w:left="1440" w:hanging="360"/>
      </w:pPr>
    </w:lvl>
    <w:lvl w:ilvl="2" w:tplc="3D3A22AE" w:tentative="1">
      <w:start w:val="1"/>
      <w:numFmt w:val="decimal"/>
      <w:lvlText w:val="%3)"/>
      <w:lvlJc w:val="left"/>
      <w:pPr>
        <w:tabs>
          <w:tab w:val="num" w:pos="2160"/>
        </w:tabs>
        <w:ind w:left="2160" w:hanging="360"/>
      </w:pPr>
    </w:lvl>
    <w:lvl w:ilvl="3" w:tplc="B866C7F4" w:tentative="1">
      <w:start w:val="1"/>
      <w:numFmt w:val="decimal"/>
      <w:lvlText w:val="%4)"/>
      <w:lvlJc w:val="left"/>
      <w:pPr>
        <w:tabs>
          <w:tab w:val="num" w:pos="2880"/>
        </w:tabs>
        <w:ind w:left="2880" w:hanging="360"/>
      </w:pPr>
    </w:lvl>
    <w:lvl w:ilvl="4" w:tplc="83F84D56" w:tentative="1">
      <w:start w:val="1"/>
      <w:numFmt w:val="decimal"/>
      <w:lvlText w:val="%5)"/>
      <w:lvlJc w:val="left"/>
      <w:pPr>
        <w:tabs>
          <w:tab w:val="num" w:pos="3600"/>
        </w:tabs>
        <w:ind w:left="3600" w:hanging="360"/>
      </w:pPr>
    </w:lvl>
    <w:lvl w:ilvl="5" w:tplc="3A6EF4E6" w:tentative="1">
      <w:start w:val="1"/>
      <w:numFmt w:val="decimal"/>
      <w:lvlText w:val="%6)"/>
      <w:lvlJc w:val="left"/>
      <w:pPr>
        <w:tabs>
          <w:tab w:val="num" w:pos="4320"/>
        </w:tabs>
        <w:ind w:left="4320" w:hanging="360"/>
      </w:pPr>
    </w:lvl>
    <w:lvl w:ilvl="6" w:tplc="DC4AC2E0" w:tentative="1">
      <w:start w:val="1"/>
      <w:numFmt w:val="decimal"/>
      <w:lvlText w:val="%7)"/>
      <w:lvlJc w:val="left"/>
      <w:pPr>
        <w:tabs>
          <w:tab w:val="num" w:pos="5040"/>
        </w:tabs>
        <w:ind w:left="5040" w:hanging="360"/>
      </w:pPr>
    </w:lvl>
    <w:lvl w:ilvl="7" w:tplc="82A6B668" w:tentative="1">
      <w:start w:val="1"/>
      <w:numFmt w:val="decimal"/>
      <w:lvlText w:val="%8)"/>
      <w:lvlJc w:val="left"/>
      <w:pPr>
        <w:tabs>
          <w:tab w:val="num" w:pos="5760"/>
        </w:tabs>
        <w:ind w:left="5760" w:hanging="360"/>
      </w:pPr>
    </w:lvl>
    <w:lvl w:ilvl="8" w:tplc="61F8BF12" w:tentative="1">
      <w:start w:val="1"/>
      <w:numFmt w:val="decimal"/>
      <w:lvlText w:val="%9)"/>
      <w:lvlJc w:val="left"/>
      <w:pPr>
        <w:tabs>
          <w:tab w:val="num" w:pos="6480"/>
        </w:tabs>
        <w:ind w:left="6480" w:hanging="360"/>
      </w:pPr>
    </w:lvl>
  </w:abstractNum>
  <w:abstractNum w:abstractNumId="33">
    <w:nsid w:val="5F4A6F29"/>
    <w:multiLevelType w:val="hybridMultilevel"/>
    <w:tmpl w:val="9864A21E"/>
    <w:lvl w:ilvl="0" w:tplc="2240558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upperRoman"/>
      <w:lvlText w:val="%3."/>
      <w:lvlJc w:val="right"/>
      <w:pPr>
        <w:tabs>
          <w:tab w:val="num" w:pos="2160"/>
        </w:tabs>
        <w:ind w:left="2160" w:hanging="360"/>
      </w:pPr>
    </w:lvl>
    <w:lvl w:ilvl="3" w:tplc="0409000F" w:tentative="1">
      <w:start w:val="1"/>
      <w:numFmt w:val="decimal"/>
      <w:lvlText w:val="%4)"/>
      <w:lvlJc w:val="left"/>
      <w:pPr>
        <w:tabs>
          <w:tab w:val="num" w:pos="2880"/>
        </w:tabs>
        <w:ind w:left="2880" w:hanging="360"/>
      </w:pPr>
    </w:lvl>
    <w:lvl w:ilvl="4" w:tplc="04090019" w:tentative="1">
      <w:start w:val="1"/>
      <w:numFmt w:val="decimal"/>
      <w:lvlText w:val="%5)"/>
      <w:lvlJc w:val="left"/>
      <w:pPr>
        <w:tabs>
          <w:tab w:val="num" w:pos="3600"/>
        </w:tabs>
        <w:ind w:left="3600" w:hanging="360"/>
      </w:pPr>
    </w:lvl>
    <w:lvl w:ilvl="5" w:tplc="0409001B" w:tentative="1">
      <w:start w:val="1"/>
      <w:numFmt w:val="decimal"/>
      <w:lvlText w:val="%6)"/>
      <w:lvlJc w:val="left"/>
      <w:pPr>
        <w:tabs>
          <w:tab w:val="num" w:pos="4320"/>
        </w:tabs>
        <w:ind w:left="4320" w:hanging="360"/>
      </w:pPr>
    </w:lvl>
    <w:lvl w:ilvl="6" w:tplc="0409000F" w:tentative="1">
      <w:start w:val="1"/>
      <w:numFmt w:val="decimal"/>
      <w:lvlText w:val="%7)"/>
      <w:lvlJc w:val="left"/>
      <w:pPr>
        <w:tabs>
          <w:tab w:val="num" w:pos="5040"/>
        </w:tabs>
        <w:ind w:left="5040" w:hanging="360"/>
      </w:pPr>
    </w:lvl>
    <w:lvl w:ilvl="7" w:tplc="04090019" w:tentative="1">
      <w:start w:val="1"/>
      <w:numFmt w:val="decimal"/>
      <w:lvlText w:val="%8)"/>
      <w:lvlJc w:val="left"/>
      <w:pPr>
        <w:tabs>
          <w:tab w:val="num" w:pos="5760"/>
        </w:tabs>
        <w:ind w:left="5760" w:hanging="360"/>
      </w:pPr>
    </w:lvl>
    <w:lvl w:ilvl="8" w:tplc="0409001B" w:tentative="1">
      <w:start w:val="1"/>
      <w:numFmt w:val="decimal"/>
      <w:lvlText w:val="%9)"/>
      <w:lvlJc w:val="left"/>
      <w:pPr>
        <w:tabs>
          <w:tab w:val="num" w:pos="6480"/>
        </w:tabs>
        <w:ind w:left="6480" w:hanging="360"/>
      </w:pPr>
    </w:lvl>
  </w:abstractNum>
  <w:abstractNum w:abstractNumId="34">
    <w:nsid w:val="655541B4"/>
    <w:multiLevelType w:val="hybridMultilevel"/>
    <w:tmpl w:val="C2F8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2D6F49"/>
    <w:multiLevelType w:val="multilevel"/>
    <w:tmpl w:val="41B6471E"/>
    <w:lvl w:ilvl="0">
      <w:start w:val="1"/>
      <w:numFmt w:val="bullet"/>
      <w:pStyle w:val="Bullet"/>
      <w:lvlText w:val="■"/>
      <w:lvlJc w:val="left"/>
      <w:pPr>
        <w:ind w:left="28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1985" w:hanging="284"/>
      </w:pPr>
      <w:rPr>
        <w:rFonts w:ascii="Arial" w:hAnsi="Arial" w:hint="default"/>
        <w:color w:val="97989A"/>
      </w:rPr>
    </w:lvl>
    <w:lvl w:ilvl="6">
      <w:start w:val="1"/>
      <w:numFmt w:val="bullet"/>
      <w:lvlText w:val="■"/>
      <w:lvlJc w:val="left"/>
      <w:pPr>
        <w:ind w:left="2268" w:hanging="283"/>
      </w:pPr>
      <w:rPr>
        <w:rFonts w:ascii="Arial" w:hAnsi="Arial" w:hint="default"/>
        <w:color w:val="97989A"/>
      </w:rPr>
    </w:lvl>
    <w:lvl w:ilvl="7">
      <w:start w:val="1"/>
      <w:numFmt w:val="bullet"/>
      <w:lvlText w:val="–"/>
      <w:lvlJc w:val="left"/>
      <w:pPr>
        <w:ind w:left="2552" w:hanging="284"/>
      </w:pPr>
      <w:rPr>
        <w:rFonts w:ascii="Arial" w:hAnsi="Arial" w:hint="default"/>
        <w:color w:val="97989A"/>
      </w:rPr>
    </w:lvl>
    <w:lvl w:ilvl="8">
      <w:start w:val="1"/>
      <w:numFmt w:val="bullet"/>
      <w:lvlText w:val="■"/>
      <w:lvlJc w:val="left"/>
      <w:pPr>
        <w:ind w:left="2835" w:hanging="283"/>
      </w:pPr>
      <w:rPr>
        <w:rFonts w:ascii="Arial" w:hAnsi="Arial" w:hint="default"/>
        <w:color w:val="97989A"/>
      </w:rPr>
    </w:lvl>
  </w:abstractNum>
  <w:abstractNum w:abstractNumId="36">
    <w:nsid w:val="68A71544"/>
    <w:multiLevelType w:val="hybridMultilevel"/>
    <w:tmpl w:val="05F85502"/>
    <w:lvl w:ilvl="0" w:tplc="C2A021AA">
      <w:start w:val="1"/>
      <w:numFmt w:val="bullet"/>
      <w:lvlText w:val=""/>
      <w:lvlJc w:val="left"/>
      <w:pPr>
        <w:ind w:left="720" w:hanging="360"/>
      </w:pPr>
      <w:rPr>
        <w:rFonts w:ascii="Symbol" w:hAnsi="Symbol" w:hint="default"/>
      </w:rPr>
    </w:lvl>
    <w:lvl w:ilvl="1" w:tplc="BA34E340" w:tentative="1">
      <w:start w:val="1"/>
      <w:numFmt w:val="bullet"/>
      <w:lvlText w:val="o"/>
      <w:lvlJc w:val="left"/>
      <w:pPr>
        <w:ind w:left="1440" w:hanging="360"/>
      </w:pPr>
      <w:rPr>
        <w:rFonts w:ascii="Courier New" w:hAnsi="Courier New" w:cs="Courier New" w:hint="default"/>
      </w:rPr>
    </w:lvl>
    <w:lvl w:ilvl="2" w:tplc="9F0E58F4" w:tentative="1">
      <w:start w:val="1"/>
      <w:numFmt w:val="bullet"/>
      <w:lvlText w:val=""/>
      <w:lvlJc w:val="left"/>
      <w:pPr>
        <w:ind w:left="2160" w:hanging="360"/>
      </w:pPr>
      <w:rPr>
        <w:rFonts w:ascii="Wingdings" w:hAnsi="Wingdings" w:hint="default"/>
      </w:rPr>
    </w:lvl>
    <w:lvl w:ilvl="3" w:tplc="259C19AA" w:tentative="1">
      <w:start w:val="1"/>
      <w:numFmt w:val="bullet"/>
      <w:lvlText w:val=""/>
      <w:lvlJc w:val="left"/>
      <w:pPr>
        <w:ind w:left="2880" w:hanging="360"/>
      </w:pPr>
      <w:rPr>
        <w:rFonts w:ascii="Symbol" w:hAnsi="Symbol" w:hint="default"/>
      </w:rPr>
    </w:lvl>
    <w:lvl w:ilvl="4" w:tplc="F71A5936" w:tentative="1">
      <w:start w:val="1"/>
      <w:numFmt w:val="bullet"/>
      <w:lvlText w:val="o"/>
      <w:lvlJc w:val="left"/>
      <w:pPr>
        <w:ind w:left="3600" w:hanging="360"/>
      </w:pPr>
      <w:rPr>
        <w:rFonts w:ascii="Courier New" w:hAnsi="Courier New" w:cs="Courier New" w:hint="default"/>
      </w:rPr>
    </w:lvl>
    <w:lvl w:ilvl="5" w:tplc="FCAAC754" w:tentative="1">
      <w:start w:val="1"/>
      <w:numFmt w:val="bullet"/>
      <w:lvlText w:val=""/>
      <w:lvlJc w:val="left"/>
      <w:pPr>
        <w:ind w:left="4320" w:hanging="360"/>
      </w:pPr>
      <w:rPr>
        <w:rFonts w:ascii="Wingdings" w:hAnsi="Wingdings" w:hint="default"/>
      </w:rPr>
    </w:lvl>
    <w:lvl w:ilvl="6" w:tplc="6B563C5E" w:tentative="1">
      <w:start w:val="1"/>
      <w:numFmt w:val="bullet"/>
      <w:lvlText w:val=""/>
      <w:lvlJc w:val="left"/>
      <w:pPr>
        <w:ind w:left="5040" w:hanging="360"/>
      </w:pPr>
      <w:rPr>
        <w:rFonts w:ascii="Symbol" w:hAnsi="Symbol" w:hint="default"/>
      </w:rPr>
    </w:lvl>
    <w:lvl w:ilvl="7" w:tplc="56E88BC6" w:tentative="1">
      <w:start w:val="1"/>
      <w:numFmt w:val="bullet"/>
      <w:lvlText w:val="o"/>
      <w:lvlJc w:val="left"/>
      <w:pPr>
        <w:ind w:left="5760" w:hanging="360"/>
      </w:pPr>
      <w:rPr>
        <w:rFonts w:ascii="Courier New" w:hAnsi="Courier New" w:cs="Courier New" w:hint="default"/>
      </w:rPr>
    </w:lvl>
    <w:lvl w:ilvl="8" w:tplc="D4707EE2" w:tentative="1">
      <w:start w:val="1"/>
      <w:numFmt w:val="bullet"/>
      <w:lvlText w:val=""/>
      <w:lvlJc w:val="left"/>
      <w:pPr>
        <w:ind w:left="6480" w:hanging="360"/>
      </w:pPr>
      <w:rPr>
        <w:rFonts w:ascii="Wingdings" w:hAnsi="Wingdings" w:hint="default"/>
      </w:rPr>
    </w:lvl>
  </w:abstractNum>
  <w:abstractNum w:abstractNumId="37">
    <w:nsid w:val="6F4751F3"/>
    <w:multiLevelType w:val="hybridMultilevel"/>
    <w:tmpl w:val="1E6C5EDC"/>
    <w:lvl w:ilvl="0" w:tplc="27042294">
      <w:start w:val="2"/>
      <w:numFmt w:val="decimal"/>
      <w:lvlText w:val="%1."/>
      <w:lvlJc w:val="left"/>
      <w:pPr>
        <w:tabs>
          <w:tab w:val="num" w:pos="720"/>
        </w:tabs>
        <w:ind w:left="720" w:hanging="360"/>
      </w:pPr>
    </w:lvl>
    <w:lvl w:ilvl="1" w:tplc="0E66A0D4" w:tentative="1">
      <w:start w:val="1"/>
      <w:numFmt w:val="decimal"/>
      <w:lvlText w:val="%2."/>
      <w:lvlJc w:val="left"/>
      <w:pPr>
        <w:tabs>
          <w:tab w:val="num" w:pos="1440"/>
        </w:tabs>
        <w:ind w:left="1440" w:hanging="360"/>
      </w:pPr>
    </w:lvl>
    <w:lvl w:ilvl="2" w:tplc="914C7BD2" w:tentative="1">
      <w:start w:val="1"/>
      <w:numFmt w:val="decimal"/>
      <w:lvlText w:val="%3."/>
      <w:lvlJc w:val="left"/>
      <w:pPr>
        <w:tabs>
          <w:tab w:val="num" w:pos="2160"/>
        </w:tabs>
        <w:ind w:left="2160" w:hanging="360"/>
      </w:pPr>
    </w:lvl>
    <w:lvl w:ilvl="3" w:tplc="99C22F2E" w:tentative="1">
      <w:start w:val="1"/>
      <w:numFmt w:val="decimal"/>
      <w:lvlText w:val="%4."/>
      <w:lvlJc w:val="left"/>
      <w:pPr>
        <w:tabs>
          <w:tab w:val="num" w:pos="2880"/>
        </w:tabs>
        <w:ind w:left="2880" w:hanging="360"/>
      </w:pPr>
    </w:lvl>
    <w:lvl w:ilvl="4" w:tplc="41DC18F2" w:tentative="1">
      <w:start w:val="1"/>
      <w:numFmt w:val="decimal"/>
      <w:lvlText w:val="%5."/>
      <w:lvlJc w:val="left"/>
      <w:pPr>
        <w:tabs>
          <w:tab w:val="num" w:pos="3600"/>
        </w:tabs>
        <w:ind w:left="3600" w:hanging="360"/>
      </w:pPr>
    </w:lvl>
    <w:lvl w:ilvl="5" w:tplc="7B5A88FC" w:tentative="1">
      <w:start w:val="1"/>
      <w:numFmt w:val="decimal"/>
      <w:lvlText w:val="%6."/>
      <w:lvlJc w:val="left"/>
      <w:pPr>
        <w:tabs>
          <w:tab w:val="num" w:pos="4320"/>
        </w:tabs>
        <w:ind w:left="4320" w:hanging="360"/>
      </w:pPr>
    </w:lvl>
    <w:lvl w:ilvl="6" w:tplc="8CDA2A7E" w:tentative="1">
      <w:start w:val="1"/>
      <w:numFmt w:val="decimal"/>
      <w:lvlText w:val="%7."/>
      <w:lvlJc w:val="left"/>
      <w:pPr>
        <w:tabs>
          <w:tab w:val="num" w:pos="5040"/>
        </w:tabs>
        <w:ind w:left="5040" w:hanging="360"/>
      </w:pPr>
    </w:lvl>
    <w:lvl w:ilvl="7" w:tplc="9F18DA40" w:tentative="1">
      <w:start w:val="1"/>
      <w:numFmt w:val="decimal"/>
      <w:lvlText w:val="%8."/>
      <w:lvlJc w:val="left"/>
      <w:pPr>
        <w:tabs>
          <w:tab w:val="num" w:pos="5760"/>
        </w:tabs>
        <w:ind w:left="5760" w:hanging="360"/>
      </w:pPr>
    </w:lvl>
    <w:lvl w:ilvl="8" w:tplc="458A51C6" w:tentative="1">
      <w:start w:val="1"/>
      <w:numFmt w:val="decimal"/>
      <w:lvlText w:val="%9."/>
      <w:lvlJc w:val="left"/>
      <w:pPr>
        <w:tabs>
          <w:tab w:val="num" w:pos="6480"/>
        </w:tabs>
        <w:ind w:left="6480" w:hanging="360"/>
      </w:pPr>
    </w:lvl>
  </w:abstractNum>
  <w:abstractNum w:abstractNumId="38">
    <w:nsid w:val="6F6D6D54"/>
    <w:multiLevelType w:val="hybridMultilevel"/>
    <w:tmpl w:val="1F38E7F0"/>
    <w:lvl w:ilvl="0" w:tplc="08090001">
      <w:start w:val="1"/>
      <w:numFmt w:val="lowerLetter"/>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Letter"/>
      <w:lvlText w:val="%3)"/>
      <w:lvlJc w:val="left"/>
      <w:pPr>
        <w:tabs>
          <w:tab w:val="num" w:pos="2160"/>
        </w:tabs>
        <w:ind w:left="2160" w:hanging="360"/>
      </w:pPr>
    </w:lvl>
    <w:lvl w:ilvl="3" w:tplc="08090001" w:tentative="1">
      <w:start w:val="1"/>
      <w:numFmt w:val="lowerLetter"/>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Letter"/>
      <w:lvlText w:val="%6)"/>
      <w:lvlJc w:val="left"/>
      <w:pPr>
        <w:tabs>
          <w:tab w:val="num" w:pos="4320"/>
        </w:tabs>
        <w:ind w:left="4320" w:hanging="360"/>
      </w:pPr>
    </w:lvl>
    <w:lvl w:ilvl="6" w:tplc="08090001" w:tentative="1">
      <w:start w:val="1"/>
      <w:numFmt w:val="lowerLetter"/>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Letter"/>
      <w:lvlText w:val="%9)"/>
      <w:lvlJc w:val="left"/>
      <w:pPr>
        <w:tabs>
          <w:tab w:val="num" w:pos="6480"/>
        </w:tabs>
        <w:ind w:left="6480" w:hanging="360"/>
      </w:pPr>
    </w:lvl>
  </w:abstractNum>
  <w:abstractNum w:abstractNumId="39">
    <w:nsid w:val="703D20BB"/>
    <w:multiLevelType w:val="hybridMultilevel"/>
    <w:tmpl w:val="0DB42248"/>
    <w:lvl w:ilvl="0" w:tplc="9A287EB0">
      <w:start w:val="4"/>
      <w:numFmt w:val="decimal"/>
      <w:lvlText w:val="%1)"/>
      <w:lvlJc w:val="left"/>
      <w:pPr>
        <w:ind w:left="360" w:hanging="360"/>
      </w:pPr>
      <w:rPr>
        <w:rFonts w:hint="default"/>
        <w:b/>
      </w:rPr>
    </w:lvl>
    <w:lvl w:ilvl="1" w:tplc="9EEEBCB0" w:tentative="1">
      <w:start w:val="1"/>
      <w:numFmt w:val="lowerLetter"/>
      <w:lvlText w:val="%2."/>
      <w:lvlJc w:val="left"/>
      <w:pPr>
        <w:ind w:left="1080" w:hanging="360"/>
      </w:pPr>
    </w:lvl>
    <w:lvl w:ilvl="2" w:tplc="40AEA110" w:tentative="1">
      <w:start w:val="1"/>
      <w:numFmt w:val="lowerRoman"/>
      <w:lvlText w:val="%3."/>
      <w:lvlJc w:val="right"/>
      <w:pPr>
        <w:ind w:left="1800" w:hanging="180"/>
      </w:pPr>
    </w:lvl>
    <w:lvl w:ilvl="3" w:tplc="821CE324" w:tentative="1">
      <w:start w:val="1"/>
      <w:numFmt w:val="decimal"/>
      <w:lvlText w:val="%4."/>
      <w:lvlJc w:val="left"/>
      <w:pPr>
        <w:ind w:left="2520" w:hanging="360"/>
      </w:pPr>
    </w:lvl>
    <w:lvl w:ilvl="4" w:tplc="7BCA5E1C" w:tentative="1">
      <w:start w:val="1"/>
      <w:numFmt w:val="lowerLetter"/>
      <w:lvlText w:val="%5."/>
      <w:lvlJc w:val="left"/>
      <w:pPr>
        <w:ind w:left="3240" w:hanging="360"/>
      </w:pPr>
    </w:lvl>
    <w:lvl w:ilvl="5" w:tplc="D6ECCCB0" w:tentative="1">
      <w:start w:val="1"/>
      <w:numFmt w:val="lowerRoman"/>
      <w:lvlText w:val="%6."/>
      <w:lvlJc w:val="right"/>
      <w:pPr>
        <w:ind w:left="3960" w:hanging="180"/>
      </w:pPr>
    </w:lvl>
    <w:lvl w:ilvl="6" w:tplc="20CC95DE" w:tentative="1">
      <w:start w:val="1"/>
      <w:numFmt w:val="decimal"/>
      <w:lvlText w:val="%7."/>
      <w:lvlJc w:val="left"/>
      <w:pPr>
        <w:ind w:left="4680" w:hanging="360"/>
      </w:pPr>
    </w:lvl>
    <w:lvl w:ilvl="7" w:tplc="072A2796" w:tentative="1">
      <w:start w:val="1"/>
      <w:numFmt w:val="lowerLetter"/>
      <w:lvlText w:val="%8."/>
      <w:lvlJc w:val="left"/>
      <w:pPr>
        <w:ind w:left="5400" w:hanging="360"/>
      </w:pPr>
    </w:lvl>
    <w:lvl w:ilvl="8" w:tplc="F1E46BF0" w:tentative="1">
      <w:start w:val="1"/>
      <w:numFmt w:val="lowerRoman"/>
      <w:lvlText w:val="%9."/>
      <w:lvlJc w:val="right"/>
      <w:pPr>
        <w:ind w:left="6120" w:hanging="180"/>
      </w:pPr>
    </w:lvl>
  </w:abstractNum>
  <w:abstractNum w:abstractNumId="40">
    <w:nsid w:val="7130034B"/>
    <w:multiLevelType w:val="hybridMultilevel"/>
    <w:tmpl w:val="F50E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F904C5"/>
    <w:multiLevelType w:val="hybridMultilevel"/>
    <w:tmpl w:val="63ECD4AE"/>
    <w:lvl w:ilvl="0" w:tplc="5E16F72E">
      <w:start w:val="1"/>
      <w:numFmt w:val="decimal"/>
      <w:lvlText w:val="%1)"/>
      <w:lvlJc w:val="left"/>
      <w:pPr>
        <w:ind w:left="360" w:hanging="360"/>
      </w:pPr>
      <w:rPr>
        <w:rFonts w:hint="default"/>
        <w:b/>
      </w:rPr>
    </w:lvl>
    <w:lvl w:ilvl="1" w:tplc="4288B176" w:tentative="1">
      <w:start w:val="1"/>
      <w:numFmt w:val="lowerLetter"/>
      <w:lvlText w:val="%2."/>
      <w:lvlJc w:val="left"/>
      <w:pPr>
        <w:ind w:left="1080" w:hanging="360"/>
      </w:pPr>
    </w:lvl>
    <w:lvl w:ilvl="2" w:tplc="83F4CCCC" w:tentative="1">
      <w:start w:val="1"/>
      <w:numFmt w:val="lowerRoman"/>
      <w:lvlText w:val="%3."/>
      <w:lvlJc w:val="right"/>
      <w:pPr>
        <w:ind w:left="1800" w:hanging="180"/>
      </w:pPr>
    </w:lvl>
    <w:lvl w:ilvl="3" w:tplc="3C0850EC" w:tentative="1">
      <w:start w:val="1"/>
      <w:numFmt w:val="decimal"/>
      <w:lvlText w:val="%4."/>
      <w:lvlJc w:val="left"/>
      <w:pPr>
        <w:ind w:left="2520" w:hanging="360"/>
      </w:pPr>
    </w:lvl>
    <w:lvl w:ilvl="4" w:tplc="C616D880" w:tentative="1">
      <w:start w:val="1"/>
      <w:numFmt w:val="lowerLetter"/>
      <w:lvlText w:val="%5."/>
      <w:lvlJc w:val="left"/>
      <w:pPr>
        <w:ind w:left="3240" w:hanging="360"/>
      </w:pPr>
    </w:lvl>
    <w:lvl w:ilvl="5" w:tplc="5950C9D4" w:tentative="1">
      <w:start w:val="1"/>
      <w:numFmt w:val="lowerRoman"/>
      <w:lvlText w:val="%6."/>
      <w:lvlJc w:val="right"/>
      <w:pPr>
        <w:ind w:left="3960" w:hanging="180"/>
      </w:pPr>
    </w:lvl>
    <w:lvl w:ilvl="6" w:tplc="48CC3BF2" w:tentative="1">
      <w:start w:val="1"/>
      <w:numFmt w:val="decimal"/>
      <w:lvlText w:val="%7."/>
      <w:lvlJc w:val="left"/>
      <w:pPr>
        <w:ind w:left="4680" w:hanging="360"/>
      </w:pPr>
    </w:lvl>
    <w:lvl w:ilvl="7" w:tplc="17069FE2" w:tentative="1">
      <w:start w:val="1"/>
      <w:numFmt w:val="lowerLetter"/>
      <w:lvlText w:val="%8."/>
      <w:lvlJc w:val="left"/>
      <w:pPr>
        <w:ind w:left="5400" w:hanging="360"/>
      </w:pPr>
    </w:lvl>
    <w:lvl w:ilvl="8" w:tplc="0BFC3FD4" w:tentative="1">
      <w:start w:val="1"/>
      <w:numFmt w:val="lowerRoman"/>
      <w:lvlText w:val="%9."/>
      <w:lvlJc w:val="right"/>
      <w:pPr>
        <w:ind w:left="6120" w:hanging="180"/>
      </w:pPr>
    </w:lvl>
  </w:abstractNum>
  <w:abstractNum w:abstractNumId="42">
    <w:nsid w:val="79700E7A"/>
    <w:multiLevelType w:val="multilevel"/>
    <w:tmpl w:val="82E63F9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A571B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B1D5BF3"/>
    <w:multiLevelType w:val="hybridMultilevel"/>
    <w:tmpl w:val="80387C64"/>
    <w:lvl w:ilvl="0" w:tplc="9ECC5DD2">
      <w:start w:val="1"/>
      <w:numFmt w:val="bullet"/>
      <w:lvlText w:val=""/>
      <w:lvlJc w:val="left"/>
      <w:pPr>
        <w:ind w:left="720" w:hanging="360"/>
      </w:pPr>
      <w:rPr>
        <w:rFonts w:ascii="Symbol" w:hAnsi="Symbol" w:hint="default"/>
      </w:rPr>
    </w:lvl>
    <w:lvl w:ilvl="1" w:tplc="D34CC37E" w:tentative="1">
      <w:start w:val="1"/>
      <w:numFmt w:val="bullet"/>
      <w:lvlText w:val="o"/>
      <w:lvlJc w:val="left"/>
      <w:pPr>
        <w:ind w:left="1440" w:hanging="360"/>
      </w:pPr>
      <w:rPr>
        <w:rFonts w:ascii="Courier New" w:hAnsi="Courier New" w:cs="Courier New" w:hint="default"/>
      </w:rPr>
    </w:lvl>
    <w:lvl w:ilvl="2" w:tplc="66B23456" w:tentative="1">
      <w:start w:val="1"/>
      <w:numFmt w:val="bullet"/>
      <w:lvlText w:val=""/>
      <w:lvlJc w:val="left"/>
      <w:pPr>
        <w:ind w:left="2160" w:hanging="360"/>
      </w:pPr>
      <w:rPr>
        <w:rFonts w:ascii="Wingdings" w:hAnsi="Wingdings" w:hint="default"/>
      </w:rPr>
    </w:lvl>
    <w:lvl w:ilvl="3" w:tplc="37148158" w:tentative="1">
      <w:start w:val="1"/>
      <w:numFmt w:val="bullet"/>
      <w:lvlText w:val=""/>
      <w:lvlJc w:val="left"/>
      <w:pPr>
        <w:ind w:left="2880" w:hanging="360"/>
      </w:pPr>
      <w:rPr>
        <w:rFonts w:ascii="Symbol" w:hAnsi="Symbol" w:hint="default"/>
      </w:rPr>
    </w:lvl>
    <w:lvl w:ilvl="4" w:tplc="77AED9AE" w:tentative="1">
      <w:start w:val="1"/>
      <w:numFmt w:val="bullet"/>
      <w:lvlText w:val="o"/>
      <w:lvlJc w:val="left"/>
      <w:pPr>
        <w:ind w:left="3600" w:hanging="360"/>
      </w:pPr>
      <w:rPr>
        <w:rFonts w:ascii="Courier New" w:hAnsi="Courier New" w:cs="Courier New" w:hint="default"/>
      </w:rPr>
    </w:lvl>
    <w:lvl w:ilvl="5" w:tplc="98489B78" w:tentative="1">
      <w:start w:val="1"/>
      <w:numFmt w:val="bullet"/>
      <w:lvlText w:val=""/>
      <w:lvlJc w:val="left"/>
      <w:pPr>
        <w:ind w:left="4320" w:hanging="360"/>
      </w:pPr>
      <w:rPr>
        <w:rFonts w:ascii="Wingdings" w:hAnsi="Wingdings" w:hint="default"/>
      </w:rPr>
    </w:lvl>
    <w:lvl w:ilvl="6" w:tplc="B1FA4D84" w:tentative="1">
      <w:start w:val="1"/>
      <w:numFmt w:val="bullet"/>
      <w:lvlText w:val=""/>
      <w:lvlJc w:val="left"/>
      <w:pPr>
        <w:ind w:left="5040" w:hanging="360"/>
      </w:pPr>
      <w:rPr>
        <w:rFonts w:ascii="Symbol" w:hAnsi="Symbol" w:hint="default"/>
      </w:rPr>
    </w:lvl>
    <w:lvl w:ilvl="7" w:tplc="32CE8196" w:tentative="1">
      <w:start w:val="1"/>
      <w:numFmt w:val="bullet"/>
      <w:lvlText w:val="o"/>
      <w:lvlJc w:val="left"/>
      <w:pPr>
        <w:ind w:left="5760" w:hanging="360"/>
      </w:pPr>
      <w:rPr>
        <w:rFonts w:ascii="Courier New" w:hAnsi="Courier New" w:cs="Courier New" w:hint="default"/>
      </w:rPr>
    </w:lvl>
    <w:lvl w:ilvl="8" w:tplc="E0281DEA" w:tentative="1">
      <w:start w:val="1"/>
      <w:numFmt w:val="bullet"/>
      <w:lvlText w:val=""/>
      <w:lvlJc w:val="left"/>
      <w:pPr>
        <w:ind w:left="6480" w:hanging="360"/>
      </w:pPr>
      <w:rPr>
        <w:rFonts w:ascii="Wingdings" w:hAnsi="Wingdings" w:hint="default"/>
      </w:rPr>
    </w:lvl>
  </w:abstractNum>
  <w:abstractNum w:abstractNumId="45">
    <w:nsid w:val="7D1F673C"/>
    <w:multiLevelType w:val="multilevel"/>
    <w:tmpl w:val="D9845C96"/>
    <w:lvl w:ilvl="0">
      <w:start w:val="1"/>
      <w:numFmt w:val="decimal"/>
      <w:pStyle w:val="Heading1"/>
      <w:lvlText w:val="%1"/>
      <w:lvlJc w:val="left"/>
      <w:pPr>
        <w:ind w:left="0" w:firstLine="0"/>
      </w:pPr>
      <w:rPr>
        <w:rFonts w:hint="default"/>
        <w:b w:val="0"/>
        <w:i w:val="0"/>
      </w:rPr>
    </w:lvl>
    <w:lvl w:ilvl="1">
      <w:start w:val="1"/>
      <w:numFmt w:val="decimal"/>
      <w:pStyle w:val="Heading2"/>
      <w:lvlText w:val="%1.%2"/>
      <w:lvlJc w:val="left"/>
      <w:pPr>
        <w:ind w:left="993" w:firstLine="0"/>
      </w:pPr>
      <w:rPr>
        <w:rFonts w:hint="default"/>
        <w:b w:val="0"/>
        <w:i w:val="0"/>
      </w:rPr>
    </w:lvl>
    <w:lvl w:ilvl="2">
      <w:start w:val="1"/>
      <w:numFmt w:val="decimal"/>
      <w:pStyle w:val="Heading3"/>
      <w:lvlText w:val="%1.%2.%3"/>
      <w:lvlJc w:val="left"/>
      <w:pPr>
        <w:ind w:left="0" w:firstLine="0"/>
      </w:pPr>
      <w:rPr>
        <w:rFonts w:hint="default"/>
        <w:b w:val="0"/>
        <w:i w:val="0"/>
      </w:rPr>
    </w:lvl>
    <w:lvl w:ilvl="3">
      <w:start w:val="1"/>
      <w:numFmt w:val="decimal"/>
      <w:pStyle w:val="Heading4"/>
      <w:lvlText w:val="%1.%2.%3.%4"/>
      <w:lvlJc w:val="left"/>
      <w:pPr>
        <w:ind w:left="0" w:firstLine="0"/>
      </w:pPr>
      <w:rPr>
        <w:rFonts w:hint="default"/>
        <w:b w:val="0"/>
        <w:i w:val="0"/>
      </w:rPr>
    </w:lvl>
    <w:lvl w:ilvl="4">
      <w:start w:val="1"/>
      <w:numFmt w:val="decimal"/>
      <w:lvlText w:val="%1.%2.%3.%4.%5"/>
      <w:lvlJc w:val="left"/>
      <w:pPr>
        <w:ind w:left="0" w:firstLine="0"/>
      </w:pPr>
      <w:rPr>
        <w:rFonts w:ascii="Times New Roman" w:hAnsi="Times New Roman" w:hint="default"/>
        <w:b w:val="0"/>
        <w:i w:val="0"/>
        <w:sz w:val="22"/>
      </w:rPr>
    </w:lvl>
    <w:lvl w:ilvl="5">
      <w:start w:val="1"/>
      <w:numFmt w:val="decimal"/>
      <w:lvlText w:val="%6"/>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36"/>
  </w:num>
  <w:num w:numId="2">
    <w:abstractNumId w:val="8"/>
  </w:num>
  <w:num w:numId="3">
    <w:abstractNumId w:val="35"/>
  </w:num>
  <w:num w:numId="4">
    <w:abstractNumId w:val="26"/>
  </w:num>
  <w:num w:numId="5">
    <w:abstractNumId w:val="12"/>
  </w:num>
  <w:num w:numId="6">
    <w:abstractNumId w:val="25"/>
  </w:num>
  <w:num w:numId="7">
    <w:abstractNumId w:val="39"/>
  </w:num>
  <w:num w:numId="8">
    <w:abstractNumId w:val="44"/>
  </w:num>
  <w:num w:numId="9">
    <w:abstractNumId w:val="43"/>
  </w:num>
  <w:num w:numId="10">
    <w:abstractNumId w:val="3"/>
  </w:num>
  <w:num w:numId="11">
    <w:abstractNumId w:val="42"/>
  </w:num>
  <w:num w:numId="12">
    <w:abstractNumId w:val="11"/>
  </w:num>
  <w:num w:numId="13">
    <w:abstractNumId w:val="22"/>
  </w:num>
  <w:num w:numId="14">
    <w:abstractNumId w:val="37"/>
  </w:num>
  <w:num w:numId="15">
    <w:abstractNumId w:val="30"/>
  </w:num>
  <w:num w:numId="16">
    <w:abstractNumId w:val="41"/>
  </w:num>
  <w:num w:numId="17">
    <w:abstractNumId w:val="6"/>
  </w:num>
  <w:num w:numId="18">
    <w:abstractNumId w:val="4"/>
  </w:num>
  <w:num w:numId="19">
    <w:abstractNumId w:val="32"/>
  </w:num>
  <w:num w:numId="20">
    <w:abstractNumId w:val="5"/>
  </w:num>
  <w:num w:numId="21">
    <w:abstractNumId w:val="38"/>
  </w:num>
  <w:num w:numId="22">
    <w:abstractNumId w:val="33"/>
  </w:num>
  <w:num w:numId="23">
    <w:abstractNumId w:val="19"/>
  </w:num>
  <w:num w:numId="24">
    <w:abstractNumId w:val="45"/>
  </w:num>
  <w:num w:numId="25">
    <w:abstractNumId w:val="10"/>
  </w:num>
  <w:num w:numId="26">
    <w:abstractNumId w:val="17"/>
  </w:num>
  <w:num w:numId="27">
    <w:abstractNumId w:val="13"/>
  </w:num>
  <w:num w:numId="28">
    <w:abstractNumId w:val="27"/>
  </w:num>
  <w:num w:numId="29">
    <w:abstractNumId w:val="23"/>
  </w:num>
  <w:num w:numId="30">
    <w:abstractNumId w:val="29"/>
  </w:num>
  <w:num w:numId="31">
    <w:abstractNumId w:val="21"/>
  </w:num>
  <w:num w:numId="32">
    <w:abstractNumId w:val="16"/>
  </w:num>
  <w:num w:numId="33">
    <w:abstractNumId w:val="14"/>
  </w:num>
  <w:num w:numId="34">
    <w:abstractNumId w:val="15"/>
  </w:num>
  <w:num w:numId="35">
    <w:abstractNumId w:val="2"/>
  </w:num>
  <w:num w:numId="36">
    <w:abstractNumId w:val="9"/>
  </w:num>
  <w:num w:numId="37">
    <w:abstractNumId w:val="0"/>
  </w:num>
  <w:num w:numId="38">
    <w:abstractNumId w:val="9"/>
  </w:num>
  <w:num w:numId="39">
    <w:abstractNumId w:val="9"/>
  </w:num>
  <w:num w:numId="40">
    <w:abstractNumId w:val="9"/>
  </w:num>
  <w:num w:numId="41">
    <w:abstractNumId w:val="28"/>
  </w:num>
  <w:num w:numId="42">
    <w:abstractNumId w:val="24"/>
  </w:num>
  <w:num w:numId="43">
    <w:abstractNumId w:val="1"/>
  </w:num>
  <w:num w:numId="44">
    <w:abstractNumId w:val="31"/>
  </w:num>
  <w:num w:numId="45">
    <w:abstractNumId w:val="18"/>
  </w:num>
  <w:num w:numId="46">
    <w:abstractNumId w:val="40"/>
  </w:num>
  <w:num w:numId="47">
    <w:abstractNumId w:val="20"/>
  </w:num>
  <w:num w:numId="48">
    <w:abstractNumId w:val="3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5A1A"/>
    <w:rsid w:val="00031E85"/>
    <w:rsid w:val="00036251"/>
    <w:rsid w:val="0008588A"/>
    <w:rsid w:val="00092234"/>
    <w:rsid w:val="000A779D"/>
    <w:rsid w:val="00120A52"/>
    <w:rsid w:val="00127747"/>
    <w:rsid w:val="001568D3"/>
    <w:rsid w:val="00191F29"/>
    <w:rsid w:val="001D247F"/>
    <w:rsid w:val="001E02CB"/>
    <w:rsid w:val="001E39D2"/>
    <w:rsid w:val="001E6E8A"/>
    <w:rsid w:val="001F5A7B"/>
    <w:rsid w:val="002052FE"/>
    <w:rsid w:val="00236641"/>
    <w:rsid w:val="00270A58"/>
    <w:rsid w:val="00281FF3"/>
    <w:rsid w:val="00285155"/>
    <w:rsid w:val="002955B8"/>
    <w:rsid w:val="002E7162"/>
    <w:rsid w:val="002F7E81"/>
    <w:rsid w:val="00317221"/>
    <w:rsid w:val="00335F36"/>
    <w:rsid w:val="00365572"/>
    <w:rsid w:val="00366B19"/>
    <w:rsid w:val="003749FC"/>
    <w:rsid w:val="00386E0E"/>
    <w:rsid w:val="0039279F"/>
    <w:rsid w:val="003939DB"/>
    <w:rsid w:val="0039518E"/>
    <w:rsid w:val="003A1DC1"/>
    <w:rsid w:val="003C0C8F"/>
    <w:rsid w:val="003C293A"/>
    <w:rsid w:val="003E5B2C"/>
    <w:rsid w:val="003E617F"/>
    <w:rsid w:val="003E6EB9"/>
    <w:rsid w:val="003E7099"/>
    <w:rsid w:val="003F1E41"/>
    <w:rsid w:val="00465C38"/>
    <w:rsid w:val="00470F2E"/>
    <w:rsid w:val="00481517"/>
    <w:rsid w:val="004E016E"/>
    <w:rsid w:val="004E18F2"/>
    <w:rsid w:val="00507DCE"/>
    <w:rsid w:val="005162B5"/>
    <w:rsid w:val="00525B5B"/>
    <w:rsid w:val="00533366"/>
    <w:rsid w:val="0053721D"/>
    <w:rsid w:val="005379E8"/>
    <w:rsid w:val="00554DF4"/>
    <w:rsid w:val="00560F51"/>
    <w:rsid w:val="0056602F"/>
    <w:rsid w:val="00574054"/>
    <w:rsid w:val="005A0331"/>
    <w:rsid w:val="005A22EF"/>
    <w:rsid w:val="005C097F"/>
    <w:rsid w:val="005D21B6"/>
    <w:rsid w:val="005D3981"/>
    <w:rsid w:val="005E11DC"/>
    <w:rsid w:val="005F1AE8"/>
    <w:rsid w:val="005F278F"/>
    <w:rsid w:val="005F32A0"/>
    <w:rsid w:val="005F6F62"/>
    <w:rsid w:val="006042DD"/>
    <w:rsid w:val="00605D46"/>
    <w:rsid w:val="00614E68"/>
    <w:rsid w:val="0062700A"/>
    <w:rsid w:val="00630254"/>
    <w:rsid w:val="00631628"/>
    <w:rsid w:val="00651902"/>
    <w:rsid w:val="00686427"/>
    <w:rsid w:val="00687CB8"/>
    <w:rsid w:val="00742426"/>
    <w:rsid w:val="00762468"/>
    <w:rsid w:val="0076555B"/>
    <w:rsid w:val="00772FE0"/>
    <w:rsid w:val="007B0BD2"/>
    <w:rsid w:val="007B5CD0"/>
    <w:rsid w:val="007E5112"/>
    <w:rsid w:val="007F0DE2"/>
    <w:rsid w:val="007F23D5"/>
    <w:rsid w:val="0081230D"/>
    <w:rsid w:val="00823A33"/>
    <w:rsid w:val="008E266D"/>
    <w:rsid w:val="00900198"/>
    <w:rsid w:val="00932193"/>
    <w:rsid w:val="0095749E"/>
    <w:rsid w:val="009613A7"/>
    <w:rsid w:val="00963B49"/>
    <w:rsid w:val="009B1539"/>
    <w:rsid w:val="009B53C5"/>
    <w:rsid w:val="009C01E3"/>
    <w:rsid w:val="009C0382"/>
    <w:rsid w:val="009D0DBA"/>
    <w:rsid w:val="009E40F9"/>
    <w:rsid w:val="00A02D9F"/>
    <w:rsid w:val="00A12D3A"/>
    <w:rsid w:val="00A15A1A"/>
    <w:rsid w:val="00A642DF"/>
    <w:rsid w:val="00A664CF"/>
    <w:rsid w:val="00A7546A"/>
    <w:rsid w:val="00AA60A2"/>
    <w:rsid w:val="00AE3BF7"/>
    <w:rsid w:val="00B43083"/>
    <w:rsid w:val="00B64F4D"/>
    <w:rsid w:val="00B829CC"/>
    <w:rsid w:val="00B82BE4"/>
    <w:rsid w:val="00BC1ADB"/>
    <w:rsid w:val="00BC32F1"/>
    <w:rsid w:val="00C00241"/>
    <w:rsid w:val="00C03FA9"/>
    <w:rsid w:val="00C10E61"/>
    <w:rsid w:val="00C35071"/>
    <w:rsid w:val="00C413F6"/>
    <w:rsid w:val="00C5243F"/>
    <w:rsid w:val="00C52561"/>
    <w:rsid w:val="00C6426D"/>
    <w:rsid w:val="00C64B05"/>
    <w:rsid w:val="00C954A4"/>
    <w:rsid w:val="00C958EF"/>
    <w:rsid w:val="00CC6DC8"/>
    <w:rsid w:val="00CC7497"/>
    <w:rsid w:val="00CE678C"/>
    <w:rsid w:val="00D261F8"/>
    <w:rsid w:val="00D74DAD"/>
    <w:rsid w:val="00DC0A25"/>
    <w:rsid w:val="00DD1A57"/>
    <w:rsid w:val="00DF6FAA"/>
    <w:rsid w:val="00E01286"/>
    <w:rsid w:val="00E17DDA"/>
    <w:rsid w:val="00E63D33"/>
    <w:rsid w:val="00E7581D"/>
    <w:rsid w:val="00E90C0D"/>
    <w:rsid w:val="00E9169B"/>
    <w:rsid w:val="00EA419C"/>
    <w:rsid w:val="00EB44D5"/>
    <w:rsid w:val="00EE1786"/>
    <w:rsid w:val="00EE3199"/>
    <w:rsid w:val="00EE39BE"/>
    <w:rsid w:val="00EE4627"/>
    <w:rsid w:val="00EE728E"/>
    <w:rsid w:val="00EF1A5D"/>
    <w:rsid w:val="00F04F55"/>
    <w:rsid w:val="00F05C0A"/>
    <w:rsid w:val="00F13684"/>
    <w:rsid w:val="00F544EA"/>
    <w:rsid w:val="00F81A87"/>
    <w:rsid w:val="00FC68EE"/>
    <w:rsid w:val="00FD2028"/>
    <w:rsid w:val="00FD3756"/>
    <w:rsid w:val="00FF5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0117A-5F4A-452F-9D34-73BE8FFF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162"/>
  </w:style>
  <w:style w:type="paragraph" w:styleId="Heading1">
    <w:name w:val="heading 1"/>
    <w:basedOn w:val="Normal"/>
    <w:next w:val="Heading2"/>
    <w:link w:val="Heading1Char"/>
    <w:qFormat/>
    <w:rsid w:val="000A779D"/>
    <w:pPr>
      <w:keepNext/>
      <w:pageBreakBefore/>
      <w:numPr>
        <w:numId w:val="24"/>
      </w:numPr>
      <w:overflowPunct w:val="0"/>
      <w:autoSpaceDE w:val="0"/>
      <w:autoSpaceDN w:val="0"/>
      <w:adjustRightInd w:val="0"/>
      <w:spacing w:after="600" w:line="240" w:lineRule="auto"/>
      <w:textAlignment w:val="baseline"/>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qFormat/>
    <w:rsid w:val="000A779D"/>
    <w:pPr>
      <w:keepNext/>
      <w:numPr>
        <w:ilvl w:val="1"/>
        <w:numId w:val="24"/>
      </w:numPr>
      <w:overflowPunct w:val="0"/>
      <w:autoSpaceDE w:val="0"/>
      <w:autoSpaceDN w:val="0"/>
      <w:adjustRightInd w:val="0"/>
      <w:spacing w:after="260" w:line="240" w:lineRule="auto"/>
      <w:textAlignment w:val="baseline"/>
      <w:outlineLvl w:val="1"/>
    </w:pPr>
    <w:rPr>
      <w:rFonts w:ascii="Times New Roman" w:eastAsia="Times New Roman" w:hAnsi="Times New Roman" w:cs="Times New Roman"/>
      <w:b/>
      <w:iCs/>
      <w:sz w:val="28"/>
      <w:szCs w:val="20"/>
    </w:rPr>
  </w:style>
  <w:style w:type="paragraph" w:styleId="Heading3">
    <w:name w:val="heading 3"/>
    <w:basedOn w:val="Normal"/>
    <w:next w:val="Normal"/>
    <w:link w:val="Heading3Char"/>
    <w:autoRedefine/>
    <w:qFormat/>
    <w:rsid w:val="000A779D"/>
    <w:pPr>
      <w:numPr>
        <w:ilvl w:val="2"/>
        <w:numId w:val="24"/>
      </w:numPr>
      <w:overflowPunct w:val="0"/>
      <w:autoSpaceDE w:val="0"/>
      <w:autoSpaceDN w:val="0"/>
      <w:adjustRightInd w:val="0"/>
      <w:spacing w:after="260" w:line="240" w:lineRule="auto"/>
      <w:jc w:val="both"/>
      <w:textAlignment w:val="baseline"/>
      <w:outlineLvl w:val="2"/>
    </w:pPr>
    <w:rPr>
      <w:rFonts w:ascii="Times New Roman" w:eastAsia="Times New Roman" w:hAnsi="Times New Roman" w:cs="Times New Roman"/>
      <w:bCs/>
      <w:iCs/>
      <w:szCs w:val="20"/>
    </w:rPr>
  </w:style>
  <w:style w:type="paragraph" w:styleId="Heading4">
    <w:name w:val="heading 4"/>
    <w:basedOn w:val="Normal"/>
    <w:next w:val="Normal"/>
    <w:link w:val="Heading4Char"/>
    <w:qFormat/>
    <w:rsid w:val="000A779D"/>
    <w:pPr>
      <w:keepNext/>
      <w:numPr>
        <w:ilvl w:val="3"/>
        <w:numId w:val="24"/>
      </w:numPr>
      <w:overflowPunct w:val="0"/>
      <w:autoSpaceDE w:val="0"/>
      <w:autoSpaceDN w:val="0"/>
      <w:adjustRightInd w:val="0"/>
      <w:spacing w:before="80" w:after="80" w:line="240" w:lineRule="auto"/>
      <w:textAlignment w:val="baseline"/>
      <w:outlineLvl w:val="3"/>
    </w:pPr>
    <w:rPr>
      <w:rFonts w:ascii="Times New Roman" w:eastAsia="Times New Roman" w:hAnsi="Times New Roman" w:cs="Times New Roman"/>
      <w:b/>
      <w:i/>
      <w:iCs/>
      <w:sz w:val="24"/>
      <w:szCs w:val="20"/>
    </w:rPr>
  </w:style>
  <w:style w:type="paragraph" w:styleId="Heading5">
    <w:name w:val="heading 5"/>
    <w:basedOn w:val="Normal"/>
    <w:next w:val="Normal"/>
    <w:link w:val="Heading5Char"/>
    <w:uiPriority w:val="9"/>
    <w:unhideWhenUsed/>
    <w:qFormat/>
    <w:rsid w:val="00EB44D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Heading7"/>
    <w:link w:val="Heading6Char"/>
    <w:autoRedefine/>
    <w:qFormat/>
    <w:rsid w:val="00EB44D5"/>
    <w:pPr>
      <w:widowControl w:val="0"/>
      <w:overflowPunct w:val="0"/>
      <w:autoSpaceDE w:val="0"/>
      <w:autoSpaceDN w:val="0"/>
      <w:adjustRightInd w:val="0"/>
      <w:spacing w:before="120" w:after="120" w:line="240" w:lineRule="auto"/>
      <w:jc w:val="both"/>
      <w:textAlignment w:val="baseline"/>
      <w:outlineLvl w:val="5"/>
    </w:pPr>
    <w:rPr>
      <w:rFonts w:ascii="Times New Roman" w:eastAsia="Times New Roman" w:hAnsi="Times New Roman" w:cs="Times New Roman"/>
      <w:b/>
      <w:iCs/>
      <w:szCs w:val="20"/>
      <w:lang w:eastAsia="en-GB"/>
    </w:rPr>
  </w:style>
  <w:style w:type="paragraph" w:styleId="Heading7">
    <w:name w:val="heading 7"/>
    <w:basedOn w:val="Normal"/>
    <w:next w:val="Normal"/>
    <w:link w:val="Heading7Char"/>
    <w:qFormat/>
    <w:rsid w:val="000A779D"/>
    <w:pPr>
      <w:numPr>
        <w:ilvl w:val="6"/>
        <w:numId w:val="24"/>
      </w:numPr>
      <w:overflowPunct w:val="0"/>
      <w:autoSpaceDE w:val="0"/>
      <w:autoSpaceDN w:val="0"/>
      <w:adjustRightInd w:val="0"/>
      <w:spacing w:before="80" w:after="80" w:line="240" w:lineRule="auto"/>
      <w:jc w:val="both"/>
      <w:textAlignment w:val="baseline"/>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0A779D"/>
    <w:pPr>
      <w:numPr>
        <w:ilvl w:val="7"/>
        <w:numId w:val="24"/>
      </w:numPr>
      <w:overflowPunct w:val="0"/>
      <w:autoSpaceDE w:val="0"/>
      <w:autoSpaceDN w:val="0"/>
      <w:adjustRightInd w:val="0"/>
      <w:spacing w:before="80" w:after="80" w:line="240" w:lineRule="auto"/>
      <w:jc w:val="both"/>
      <w:textAlignment w:val="baseline"/>
      <w:outlineLvl w:val="7"/>
    </w:pPr>
    <w:rPr>
      <w:rFonts w:ascii="Times New Roman" w:eastAsia="Times New Roman" w:hAnsi="Times New Roman" w:cs="Times New Roman"/>
      <w:szCs w:val="20"/>
    </w:rPr>
  </w:style>
  <w:style w:type="paragraph" w:styleId="Heading9">
    <w:name w:val="heading 9"/>
    <w:basedOn w:val="Normal"/>
    <w:next w:val="Normal"/>
    <w:link w:val="Heading9Char"/>
    <w:qFormat/>
    <w:rsid w:val="000A779D"/>
    <w:pPr>
      <w:numPr>
        <w:ilvl w:val="8"/>
        <w:numId w:val="24"/>
      </w:numPr>
      <w:overflowPunct w:val="0"/>
      <w:autoSpaceDE w:val="0"/>
      <w:autoSpaceDN w:val="0"/>
      <w:adjustRightInd w:val="0"/>
      <w:spacing w:before="80" w:after="80" w:line="240" w:lineRule="auto"/>
      <w:jc w:val="both"/>
      <w:textAlignment w:val="baseline"/>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A1A"/>
    <w:pPr>
      <w:ind w:left="720"/>
      <w:contextualSpacing/>
    </w:pPr>
  </w:style>
  <w:style w:type="table" w:styleId="TableGrid">
    <w:name w:val="Table Grid"/>
    <w:basedOn w:val="TableNormal"/>
    <w:uiPriority w:val="59"/>
    <w:rsid w:val="005A2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A22EF"/>
    <w:rPr>
      <w:sz w:val="16"/>
      <w:szCs w:val="16"/>
    </w:rPr>
  </w:style>
  <w:style w:type="paragraph" w:styleId="CommentText">
    <w:name w:val="annotation text"/>
    <w:basedOn w:val="Normal"/>
    <w:link w:val="CommentTextChar"/>
    <w:uiPriority w:val="99"/>
    <w:semiHidden/>
    <w:unhideWhenUsed/>
    <w:rsid w:val="005A22EF"/>
    <w:pPr>
      <w:spacing w:line="240" w:lineRule="auto"/>
    </w:pPr>
    <w:rPr>
      <w:sz w:val="20"/>
      <w:szCs w:val="20"/>
    </w:rPr>
  </w:style>
  <w:style w:type="character" w:customStyle="1" w:styleId="CommentTextChar">
    <w:name w:val="Comment Text Char"/>
    <w:basedOn w:val="DefaultParagraphFont"/>
    <w:link w:val="CommentText"/>
    <w:uiPriority w:val="99"/>
    <w:semiHidden/>
    <w:rsid w:val="005A22EF"/>
    <w:rPr>
      <w:sz w:val="20"/>
      <w:szCs w:val="20"/>
    </w:rPr>
  </w:style>
  <w:style w:type="paragraph" w:styleId="CommentSubject">
    <w:name w:val="annotation subject"/>
    <w:basedOn w:val="CommentText"/>
    <w:next w:val="CommentText"/>
    <w:link w:val="CommentSubjectChar"/>
    <w:uiPriority w:val="99"/>
    <w:semiHidden/>
    <w:unhideWhenUsed/>
    <w:rsid w:val="005A22EF"/>
    <w:rPr>
      <w:b/>
      <w:bCs/>
    </w:rPr>
  </w:style>
  <w:style w:type="character" w:customStyle="1" w:styleId="CommentSubjectChar">
    <w:name w:val="Comment Subject Char"/>
    <w:basedOn w:val="CommentTextChar"/>
    <w:link w:val="CommentSubject"/>
    <w:uiPriority w:val="99"/>
    <w:semiHidden/>
    <w:rsid w:val="005A22EF"/>
    <w:rPr>
      <w:b/>
      <w:bCs/>
      <w:sz w:val="20"/>
      <w:szCs w:val="20"/>
    </w:rPr>
  </w:style>
  <w:style w:type="paragraph" w:styleId="BalloonText">
    <w:name w:val="Balloon Text"/>
    <w:basedOn w:val="Normal"/>
    <w:link w:val="BalloonTextChar"/>
    <w:uiPriority w:val="99"/>
    <w:semiHidden/>
    <w:unhideWhenUsed/>
    <w:rsid w:val="005A2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EF"/>
    <w:rPr>
      <w:rFonts w:ascii="Tahoma" w:hAnsi="Tahoma" w:cs="Tahoma"/>
      <w:sz w:val="16"/>
      <w:szCs w:val="16"/>
    </w:rPr>
  </w:style>
  <w:style w:type="paragraph" w:customStyle="1" w:styleId="Bullet">
    <w:name w:val="Bullet"/>
    <w:basedOn w:val="Normal"/>
    <w:qFormat/>
    <w:rsid w:val="005A22EF"/>
    <w:pPr>
      <w:numPr>
        <w:numId w:val="3"/>
      </w:numPr>
      <w:spacing w:after="130" w:line="240" w:lineRule="auto"/>
    </w:pPr>
    <w:rPr>
      <w:rFonts w:ascii="Times New Roman" w:eastAsia="Calibri" w:hAnsi="Times New Roman" w:cs="Times New Roman"/>
    </w:rPr>
  </w:style>
  <w:style w:type="paragraph" w:styleId="Header">
    <w:name w:val="header"/>
    <w:basedOn w:val="Normal"/>
    <w:link w:val="HeaderChar"/>
    <w:uiPriority w:val="99"/>
    <w:unhideWhenUsed/>
    <w:rsid w:val="00D74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DAD"/>
  </w:style>
  <w:style w:type="paragraph" w:styleId="Footer">
    <w:name w:val="footer"/>
    <w:basedOn w:val="Normal"/>
    <w:link w:val="FooterChar"/>
    <w:uiPriority w:val="99"/>
    <w:unhideWhenUsed/>
    <w:rsid w:val="00D74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DAD"/>
  </w:style>
  <w:style w:type="character" w:customStyle="1" w:styleId="Heading1Char">
    <w:name w:val="Heading 1 Char"/>
    <w:basedOn w:val="DefaultParagraphFont"/>
    <w:link w:val="Heading1"/>
    <w:rsid w:val="000A779D"/>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0A779D"/>
    <w:rPr>
      <w:rFonts w:ascii="Times New Roman" w:eastAsia="Times New Roman" w:hAnsi="Times New Roman" w:cs="Times New Roman"/>
      <w:b/>
      <w:iCs/>
      <w:sz w:val="28"/>
      <w:szCs w:val="20"/>
    </w:rPr>
  </w:style>
  <w:style w:type="character" w:customStyle="1" w:styleId="Heading3Char">
    <w:name w:val="Heading 3 Char"/>
    <w:basedOn w:val="DefaultParagraphFont"/>
    <w:link w:val="Heading3"/>
    <w:rsid w:val="000A779D"/>
    <w:rPr>
      <w:rFonts w:ascii="Times New Roman" w:eastAsia="Times New Roman" w:hAnsi="Times New Roman" w:cs="Times New Roman"/>
      <w:bCs/>
      <w:iCs/>
      <w:szCs w:val="20"/>
    </w:rPr>
  </w:style>
  <w:style w:type="character" w:customStyle="1" w:styleId="Heading4Char">
    <w:name w:val="Heading 4 Char"/>
    <w:basedOn w:val="DefaultParagraphFont"/>
    <w:link w:val="Heading4"/>
    <w:rsid w:val="000A779D"/>
    <w:rPr>
      <w:rFonts w:ascii="Times New Roman" w:eastAsia="Times New Roman" w:hAnsi="Times New Roman" w:cs="Times New Roman"/>
      <w:b/>
      <w:i/>
      <w:iCs/>
      <w:sz w:val="24"/>
      <w:szCs w:val="20"/>
    </w:rPr>
  </w:style>
  <w:style w:type="character" w:customStyle="1" w:styleId="Heading6Char">
    <w:name w:val="Heading 6 Char"/>
    <w:basedOn w:val="DefaultParagraphFont"/>
    <w:link w:val="Heading6"/>
    <w:rsid w:val="00EB44D5"/>
    <w:rPr>
      <w:rFonts w:ascii="Times New Roman" w:eastAsia="Times New Roman" w:hAnsi="Times New Roman" w:cs="Times New Roman"/>
      <w:b/>
      <w:iCs/>
      <w:szCs w:val="20"/>
      <w:lang w:eastAsia="en-GB"/>
    </w:rPr>
  </w:style>
  <w:style w:type="character" w:customStyle="1" w:styleId="Heading7Char">
    <w:name w:val="Heading 7 Char"/>
    <w:basedOn w:val="DefaultParagraphFont"/>
    <w:link w:val="Heading7"/>
    <w:rsid w:val="000A779D"/>
    <w:rPr>
      <w:rFonts w:ascii="Times New Roman" w:eastAsia="Times New Roman" w:hAnsi="Times New Roman" w:cs="Times New Roman"/>
      <w:szCs w:val="20"/>
    </w:rPr>
  </w:style>
  <w:style w:type="character" w:customStyle="1" w:styleId="Heading8Char">
    <w:name w:val="Heading 8 Char"/>
    <w:basedOn w:val="DefaultParagraphFont"/>
    <w:link w:val="Heading8"/>
    <w:rsid w:val="000A779D"/>
    <w:rPr>
      <w:rFonts w:ascii="Times New Roman" w:eastAsia="Times New Roman" w:hAnsi="Times New Roman" w:cs="Times New Roman"/>
      <w:szCs w:val="20"/>
    </w:rPr>
  </w:style>
  <w:style w:type="character" w:customStyle="1" w:styleId="Heading9Char">
    <w:name w:val="Heading 9 Char"/>
    <w:basedOn w:val="DefaultParagraphFont"/>
    <w:link w:val="Heading9"/>
    <w:rsid w:val="000A779D"/>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rsid w:val="00EB44D5"/>
    <w:rPr>
      <w:rFonts w:asciiTheme="majorHAnsi" w:eastAsiaTheme="majorEastAsia" w:hAnsiTheme="majorHAnsi" w:cstheme="majorBidi"/>
      <w:color w:val="243F60" w:themeColor="accent1" w:themeShade="7F"/>
    </w:rPr>
  </w:style>
  <w:style w:type="paragraph" w:customStyle="1" w:styleId="Text">
    <w:name w:val="Text"/>
    <w:basedOn w:val="Normal"/>
    <w:link w:val="TextChar"/>
    <w:rsid w:val="00EB44D5"/>
    <w:pPr>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rPr>
  </w:style>
  <w:style w:type="character" w:customStyle="1" w:styleId="TextChar">
    <w:name w:val="Text Char"/>
    <w:basedOn w:val="DefaultParagraphFont"/>
    <w:link w:val="Text"/>
    <w:rsid w:val="00EB44D5"/>
    <w:rPr>
      <w:rFonts w:ascii="Times New Roman" w:eastAsia="Times New Roman" w:hAnsi="Times New Roman" w:cs="Times New Roman"/>
      <w:szCs w:val="20"/>
    </w:rPr>
  </w:style>
  <w:style w:type="paragraph" w:customStyle="1" w:styleId="Numbering">
    <w:name w:val="Numbering"/>
    <w:basedOn w:val="Normal"/>
    <w:rsid w:val="00EB44D5"/>
    <w:pPr>
      <w:tabs>
        <w:tab w:val="left" w:pos="284"/>
      </w:tabs>
      <w:overflowPunct w:val="0"/>
      <w:autoSpaceDE w:val="0"/>
      <w:autoSpaceDN w:val="0"/>
      <w:adjustRightInd w:val="0"/>
      <w:spacing w:after="130" w:line="260" w:lineRule="exact"/>
      <w:jc w:val="both"/>
      <w:textAlignment w:val="baseline"/>
    </w:pPr>
    <w:rPr>
      <w:rFonts w:ascii="Times New Roman" w:eastAsia="Times New Roman" w:hAnsi="Times New Roman" w:cs="Times New Roman"/>
      <w:szCs w:val="20"/>
    </w:rPr>
  </w:style>
  <w:style w:type="character" w:styleId="HTMLCite">
    <w:name w:val="HTML Cite"/>
    <w:basedOn w:val="DefaultParagraphFont"/>
    <w:uiPriority w:val="99"/>
    <w:semiHidden/>
    <w:unhideWhenUsed/>
    <w:rsid w:val="00E7581D"/>
    <w:rPr>
      <w:i/>
      <w:iCs/>
    </w:rPr>
  </w:style>
  <w:style w:type="character" w:styleId="Hyperlink">
    <w:name w:val="Hyperlink"/>
    <w:basedOn w:val="DefaultParagraphFont"/>
    <w:uiPriority w:val="99"/>
    <w:unhideWhenUsed/>
    <w:rsid w:val="002052FE"/>
    <w:rPr>
      <w:color w:val="0000FF" w:themeColor="hyperlink"/>
      <w:u w:val="single"/>
    </w:rPr>
  </w:style>
  <w:style w:type="character" w:styleId="FollowedHyperlink">
    <w:name w:val="FollowedHyperlink"/>
    <w:basedOn w:val="DefaultParagraphFont"/>
    <w:uiPriority w:val="99"/>
    <w:semiHidden/>
    <w:unhideWhenUsed/>
    <w:rsid w:val="002052FE"/>
    <w:rPr>
      <w:color w:val="800080" w:themeColor="followedHyperlink"/>
      <w:u w:val="single"/>
    </w:rPr>
  </w:style>
  <w:style w:type="paragraph" w:styleId="Caption">
    <w:name w:val="caption"/>
    <w:basedOn w:val="Normal"/>
    <w:next w:val="Normal"/>
    <w:autoRedefine/>
    <w:qFormat/>
    <w:rsid w:val="0076555B"/>
    <w:pPr>
      <w:keepNext/>
      <w:keepLines/>
      <w:overflowPunct w:val="0"/>
      <w:autoSpaceDE w:val="0"/>
      <w:autoSpaceDN w:val="0"/>
      <w:adjustRightInd w:val="0"/>
      <w:spacing w:before="130" w:after="130" w:line="240" w:lineRule="auto"/>
      <w:ind w:left="709"/>
      <w:jc w:val="both"/>
      <w:textAlignment w:val="baseline"/>
    </w:pPr>
    <w:rPr>
      <w:rFonts w:ascii="Times New Roman" w:eastAsia="Times New Roman" w:hAnsi="Times New Roman" w:cs="Times New Roman"/>
      <w:b/>
      <w:sz w:val="24"/>
      <w:szCs w:val="20"/>
      <w:lang w:eastAsia="en-GB"/>
    </w:rPr>
  </w:style>
  <w:style w:type="paragraph" w:customStyle="1" w:styleId="Numbering2">
    <w:name w:val="Numbering 2"/>
    <w:basedOn w:val="Numbering"/>
    <w:rsid w:val="0076555B"/>
    <w:pPr>
      <w:numPr>
        <w:numId w:val="44"/>
      </w:numPr>
      <w:tabs>
        <w:tab w:val="clear" w:pos="284"/>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49732">
      <w:bodyDiv w:val="1"/>
      <w:marLeft w:val="0"/>
      <w:marRight w:val="0"/>
      <w:marTop w:val="0"/>
      <w:marBottom w:val="0"/>
      <w:divBdr>
        <w:top w:val="none" w:sz="0" w:space="0" w:color="auto"/>
        <w:left w:val="none" w:sz="0" w:space="0" w:color="auto"/>
        <w:bottom w:val="none" w:sz="0" w:space="0" w:color="auto"/>
        <w:right w:val="none" w:sz="0" w:space="0" w:color="auto"/>
      </w:divBdr>
    </w:div>
    <w:div w:id="382682096">
      <w:bodyDiv w:val="1"/>
      <w:marLeft w:val="0"/>
      <w:marRight w:val="0"/>
      <w:marTop w:val="0"/>
      <w:marBottom w:val="0"/>
      <w:divBdr>
        <w:top w:val="none" w:sz="0" w:space="0" w:color="auto"/>
        <w:left w:val="none" w:sz="0" w:space="0" w:color="auto"/>
        <w:bottom w:val="none" w:sz="0" w:space="0" w:color="auto"/>
        <w:right w:val="none" w:sz="0" w:space="0" w:color="auto"/>
      </w:divBdr>
    </w:div>
    <w:div w:id="679433698">
      <w:bodyDiv w:val="1"/>
      <w:marLeft w:val="0"/>
      <w:marRight w:val="0"/>
      <w:marTop w:val="0"/>
      <w:marBottom w:val="0"/>
      <w:divBdr>
        <w:top w:val="none" w:sz="0" w:space="0" w:color="auto"/>
        <w:left w:val="none" w:sz="0" w:space="0" w:color="auto"/>
        <w:bottom w:val="none" w:sz="0" w:space="0" w:color="auto"/>
        <w:right w:val="none" w:sz="0" w:space="0" w:color="auto"/>
      </w:divBdr>
    </w:div>
    <w:div w:id="722951970">
      <w:bodyDiv w:val="1"/>
      <w:marLeft w:val="0"/>
      <w:marRight w:val="0"/>
      <w:marTop w:val="0"/>
      <w:marBottom w:val="0"/>
      <w:divBdr>
        <w:top w:val="none" w:sz="0" w:space="0" w:color="auto"/>
        <w:left w:val="none" w:sz="0" w:space="0" w:color="auto"/>
        <w:bottom w:val="none" w:sz="0" w:space="0" w:color="auto"/>
        <w:right w:val="none" w:sz="0" w:space="0" w:color="auto"/>
      </w:divBdr>
      <w:divsChild>
        <w:div w:id="595752632">
          <w:marLeft w:val="360"/>
          <w:marRight w:val="0"/>
          <w:marTop w:val="0"/>
          <w:marBottom w:val="0"/>
          <w:divBdr>
            <w:top w:val="none" w:sz="0" w:space="0" w:color="auto"/>
            <w:left w:val="none" w:sz="0" w:space="0" w:color="auto"/>
            <w:bottom w:val="none" w:sz="0" w:space="0" w:color="auto"/>
            <w:right w:val="none" w:sz="0" w:space="0" w:color="auto"/>
          </w:divBdr>
        </w:div>
        <w:div w:id="737284012">
          <w:marLeft w:val="360"/>
          <w:marRight w:val="0"/>
          <w:marTop w:val="0"/>
          <w:marBottom w:val="0"/>
          <w:divBdr>
            <w:top w:val="none" w:sz="0" w:space="0" w:color="auto"/>
            <w:left w:val="none" w:sz="0" w:space="0" w:color="auto"/>
            <w:bottom w:val="none" w:sz="0" w:space="0" w:color="auto"/>
            <w:right w:val="none" w:sz="0" w:space="0" w:color="auto"/>
          </w:divBdr>
        </w:div>
        <w:div w:id="1112483107">
          <w:marLeft w:val="360"/>
          <w:marRight w:val="0"/>
          <w:marTop w:val="0"/>
          <w:marBottom w:val="0"/>
          <w:divBdr>
            <w:top w:val="none" w:sz="0" w:space="0" w:color="auto"/>
            <w:left w:val="none" w:sz="0" w:space="0" w:color="auto"/>
            <w:bottom w:val="none" w:sz="0" w:space="0" w:color="auto"/>
            <w:right w:val="none" w:sz="0" w:space="0" w:color="auto"/>
          </w:divBdr>
        </w:div>
        <w:div w:id="1350914858">
          <w:marLeft w:val="1080"/>
          <w:marRight w:val="0"/>
          <w:marTop w:val="0"/>
          <w:marBottom w:val="0"/>
          <w:divBdr>
            <w:top w:val="none" w:sz="0" w:space="0" w:color="auto"/>
            <w:left w:val="none" w:sz="0" w:space="0" w:color="auto"/>
            <w:bottom w:val="none" w:sz="0" w:space="0" w:color="auto"/>
            <w:right w:val="none" w:sz="0" w:space="0" w:color="auto"/>
          </w:divBdr>
        </w:div>
        <w:div w:id="221017919">
          <w:marLeft w:val="1080"/>
          <w:marRight w:val="0"/>
          <w:marTop w:val="0"/>
          <w:marBottom w:val="0"/>
          <w:divBdr>
            <w:top w:val="none" w:sz="0" w:space="0" w:color="auto"/>
            <w:left w:val="none" w:sz="0" w:space="0" w:color="auto"/>
            <w:bottom w:val="none" w:sz="0" w:space="0" w:color="auto"/>
            <w:right w:val="none" w:sz="0" w:space="0" w:color="auto"/>
          </w:divBdr>
        </w:div>
        <w:div w:id="1604070065">
          <w:marLeft w:val="1080"/>
          <w:marRight w:val="0"/>
          <w:marTop w:val="0"/>
          <w:marBottom w:val="0"/>
          <w:divBdr>
            <w:top w:val="none" w:sz="0" w:space="0" w:color="auto"/>
            <w:left w:val="none" w:sz="0" w:space="0" w:color="auto"/>
            <w:bottom w:val="none" w:sz="0" w:space="0" w:color="auto"/>
            <w:right w:val="none" w:sz="0" w:space="0" w:color="auto"/>
          </w:divBdr>
        </w:div>
        <w:div w:id="1746106678">
          <w:marLeft w:val="360"/>
          <w:marRight w:val="0"/>
          <w:marTop w:val="0"/>
          <w:marBottom w:val="0"/>
          <w:divBdr>
            <w:top w:val="none" w:sz="0" w:space="0" w:color="auto"/>
            <w:left w:val="none" w:sz="0" w:space="0" w:color="auto"/>
            <w:bottom w:val="none" w:sz="0" w:space="0" w:color="auto"/>
            <w:right w:val="none" w:sz="0" w:space="0" w:color="auto"/>
          </w:divBdr>
        </w:div>
        <w:div w:id="1150365758">
          <w:marLeft w:val="1080"/>
          <w:marRight w:val="0"/>
          <w:marTop w:val="0"/>
          <w:marBottom w:val="0"/>
          <w:divBdr>
            <w:top w:val="none" w:sz="0" w:space="0" w:color="auto"/>
            <w:left w:val="none" w:sz="0" w:space="0" w:color="auto"/>
            <w:bottom w:val="none" w:sz="0" w:space="0" w:color="auto"/>
            <w:right w:val="none" w:sz="0" w:space="0" w:color="auto"/>
          </w:divBdr>
        </w:div>
        <w:div w:id="1655525452">
          <w:marLeft w:val="1080"/>
          <w:marRight w:val="0"/>
          <w:marTop w:val="0"/>
          <w:marBottom w:val="0"/>
          <w:divBdr>
            <w:top w:val="none" w:sz="0" w:space="0" w:color="auto"/>
            <w:left w:val="none" w:sz="0" w:space="0" w:color="auto"/>
            <w:bottom w:val="none" w:sz="0" w:space="0" w:color="auto"/>
            <w:right w:val="none" w:sz="0" w:space="0" w:color="auto"/>
          </w:divBdr>
        </w:div>
        <w:div w:id="28528103">
          <w:marLeft w:val="1080"/>
          <w:marRight w:val="0"/>
          <w:marTop w:val="0"/>
          <w:marBottom w:val="0"/>
          <w:divBdr>
            <w:top w:val="none" w:sz="0" w:space="0" w:color="auto"/>
            <w:left w:val="none" w:sz="0" w:space="0" w:color="auto"/>
            <w:bottom w:val="none" w:sz="0" w:space="0" w:color="auto"/>
            <w:right w:val="none" w:sz="0" w:space="0" w:color="auto"/>
          </w:divBdr>
        </w:div>
        <w:div w:id="975531082">
          <w:marLeft w:val="1886"/>
          <w:marRight w:val="0"/>
          <w:marTop w:val="0"/>
          <w:marBottom w:val="0"/>
          <w:divBdr>
            <w:top w:val="none" w:sz="0" w:space="0" w:color="auto"/>
            <w:left w:val="none" w:sz="0" w:space="0" w:color="auto"/>
            <w:bottom w:val="none" w:sz="0" w:space="0" w:color="auto"/>
            <w:right w:val="none" w:sz="0" w:space="0" w:color="auto"/>
          </w:divBdr>
        </w:div>
        <w:div w:id="11688145">
          <w:marLeft w:val="1886"/>
          <w:marRight w:val="0"/>
          <w:marTop w:val="0"/>
          <w:marBottom w:val="0"/>
          <w:divBdr>
            <w:top w:val="none" w:sz="0" w:space="0" w:color="auto"/>
            <w:left w:val="none" w:sz="0" w:space="0" w:color="auto"/>
            <w:bottom w:val="none" w:sz="0" w:space="0" w:color="auto"/>
            <w:right w:val="none" w:sz="0" w:space="0" w:color="auto"/>
          </w:divBdr>
        </w:div>
        <w:div w:id="1943878461">
          <w:marLeft w:val="1886"/>
          <w:marRight w:val="0"/>
          <w:marTop w:val="0"/>
          <w:marBottom w:val="0"/>
          <w:divBdr>
            <w:top w:val="none" w:sz="0" w:space="0" w:color="auto"/>
            <w:left w:val="none" w:sz="0" w:space="0" w:color="auto"/>
            <w:bottom w:val="none" w:sz="0" w:space="0" w:color="auto"/>
            <w:right w:val="none" w:sz="0" w:space="0" w:color="auto"/>
          </w:divBdr>
        </w:div>
        <w:div w:id="688028260">
          <w:marLeft w:val="1886"/>
          <w:marRight w:val="0"/>
          <w:marTop w:val="0"/>
          <w:marBottom w:val="0"/>
          <w:divBdr>
            <w:top w:val="none" w:sz="0" w:space="0" w:color="auto"/>
            <w:left w:val="none" w:sz="0" w:space="0" w:color="auto"/>
            <w:bottom w:val="none" w:sz="0" w:space="0" w:color="auto"/>
            <w:right w:val="none" w:sz="0" w:space="0" w:color="auto"/>
          </w:divBdr>
        </w:div>
        <w:div w:id="1823541540">
          <w:marLeft w:val="1886"/>
          <w:marRight w:val="0"/>
          <w:marTop w:val="0"/>
          <w:marBottom w:val="0"/>
          <w:divBdr>
            <w:top w:val="none" w:sz="0" w:space="0" w:color="auto"/>
            <w:left w:val="none" w:sz="0" w:space="0" w:color="auto"/>
            <w:bottom w:val="none" w:sz="0" w:space="0" w:color="auto"/>
            <w:right w:val="none" w:sz="0" w:space="0" w:color="auto"/>
          </w:divBdr>
        </w:div>
        <w:div w:id="676469979">
          <w:marLeft w:val="1886"/>
          <w:marRight w:val="0"/>
          <w:marTop w:val="0"/>
          <w:marBottom w:val="0"/>
          <w:divBdr>
            <w:top w:val="none" w:sz="0" w:space="0" w:color="auto"/>
            <w:left w:val="none" w:sz="0" w:space="0" w:color="auto"/>
            <w:bottom w:val="none" w:sz="0" w:space="0" w:color="auto"/>
            <w:right w:val="none" w:sz="0" w:space="0" w:color="auto"/>
          </w:divBdr>
        </w:div>
        <w:div w:id="360131568">
          <w:marLeft w:val="1886"/>
          <w:marRight w:val="0"/>
          <w:marTop w:val="0"/>
          <w:marBottom w:val="0"/>
          <w:divBdr>
            <w:top w:val="none" w:sz="0" w:space="0" w:color="auto"/>
            <w:left w:val="none" w:sz="0" w:space="0" w:color="auto"/>
            <w:bottom w:val="none" w:sz="0" w:space="0" w:color="auto"/>
            <w:right w:val="none" w:sz="0" w:space="0" w:color="auto"/>
          </w:divBdr>
        </w:div>
      </w:divsChild>
    </w:div>
    <w:div w:id="808211076">
      <w:bodyDiv w:val="1"/>
      <w:marLeft w:val="0"/>
      <w:marRight w:val="0"/>
      <w:marTop w:val="0"/>
      <w:marBottom w:val="0"/>
      <w:divBdr>
        <w:top w:val="none" w:sz="0" w:space="0" w:color="auto"/>
        <w:left w:val="none" w:sz="0" w:space="0" w:color="auto"/>
        <w:bottom w:val="none" w:sz="0" w:space="0" w:color="auto"/>
        <w:right w:val="none" w:sz="0" w:space="0" w:color="auto"/>
      </w:divBdr>
      <w:divsChild>
        <w:div w:id="2064138564">
          <w:marLeft w:val="360"/>
          <w:marRight w:val="0"/>
          <w:marTop w:val="0"/>
          <w:marBottom w:val="0"/>
          <w:divBdr>
            <w:top w:val="none" w:sz="0" w:space="0" w:color="auto"/>
            <w:left w:val="none" w:sz="0" w:space="0" w:color="auto"/>
            <w:bottom w:val="none" w:sz="0" w:space="0" w:color="auto"/>
            <w:right w:val="none" w:sz="0" w:space="0" w:color="auto"/>
          </w:divBdr>
        </w:div>
        <w:div w:id="1911192337">
          <w:marLeft w:val="360"/>
          <w:marRight w:val="0"/>
          <w:marTop w:val="0"/>
          <w:marBottom w:val="0"/>
          <w:divBdr>
            <w:top w:val="none" w:sz="0" w:space="0" w:color="auto"/>
            <w:left w:val="none" w:sz="0" w:space="0" w:color="auto"/>
            <w:bottom w:val="none" w:sz="0" w:space="0" w:color="auto"/>
            <w:right w:val="none" w:sz="0" w:space="0" w:color="auto"/>
          </w:divBdr>
        </w:div>
        <w:div w:id="1886796471">
          <w:marLeft w:val="360"/>
          <w:marRight w:val="0"/>
          <w:marTop w:val="0"/>
          <w:marBottom w:val="0"/>
          <w:divBdr>
            <w:top w:val="none" w:sz="0" w:space="0" w:color="auto"/>
            <w:left w:val="none" w:sz="0" w:space="0" w:color="auto"/>
            <w:bottom w:val="none" w:sz="0" w:space="0" w:color="auto"/>
            <w:right w:val="none" w:sz="0" w:space="0" w:color="auto"/>
          </w:divBdr>
        </w:div>
        <w:div w:id="372579241">
          <w:marLeft w:val="360"/>
          <w:marRight w:val="0"/>
          <w:marTop w:val="0"/>
          <w:marBottom w:val="0"/>
          <w:divBdr>
            <w:top w:val="none" w:sz="0" w:space="0" w:color="auto"/>
            <w:left w:val="none" w:sz="0" w:space="0" w:color="auto"/>
            <w:bottom w:val="none" w:sz="0" w:space="0" w:color="auto"/>
            <w:right w:val="none" w:sz="0" w:space="0" w:color="auto"/>
          </w:divBdr>
        </w:div>
      </w:divsChild>
    </w:div>
    <w:div w:id="1166555493">
      <w:bodyDiv w:val="1"/>
      <w:marLeft w:val="0"/>
      <w:marRight w:val="0"/>
      <w:marTop w:val="0"/>
      <w:marBottom w:val="0"/>
      <w:divBdr>
        <w:top w:val="none" w:sz="0" w:space="0" w:color="auto"/>
        <w:left w:val="none" w:sz="0" w:space="0" w:color="auto"/>
        <w:bottom w:val="none" w:sz="0" w:space="0" w:color="auto"/>
        <w:right w:val="none" w:sz="0" w:space="0" w:color="auto"/>
      </w:divBdr>
      <w:divsChild>
        <w:div w:id="623078329">
          <w:marLeft w:val="360"/>
          <w:marRight w:val="0"/>
          <w:marTop w:val="0"/>
          <w:marBottom w:val="0"/>
          <w:divBdr>
            <w:top w:val="none" w:sz="0" w:space="0" w:color="auto"/>
            <w:left w:val="none" w:sz="0" w:space="0" w:color="auto"/>
            <w:bottom w:val="none" w:sz="0" w:space="0" w:color="auto"/>
            <w:right w:val="none" w:sz="0" w:space="0" w:color="auto"/>
          </w:divBdr>
        </w:div>
        <w:div w:id="1109206541">
          <w:marLeft w:val="360"/>
          <w:marRight w:val="0"/>
          <w:marTop w:val="0"/>
          <w:marBottom w:val="0"/>
          <w:divBdr>
            <w:top w:val="none" w:sz="0" w:space="0" w:color="auto"/>
            <w:left w:val="none" w:sz="0" w:space="0" w:color="auto"/>
            <w:bottom w:val="none" w:sz="0" w:space="0" w:color="auto"/>
            <w:right w:val="none" w:sz="0" w:space="0" w:color="auto"/>
          </w:divBdr>
        </w:div>
        <w:div w:id="1209756434">
          <w:marLeft w:val="360"/>
          <w:marRight w:val="0"/>
          <w:marTop w:val="0"/>
          <w:marBottom w:val="0"/>
          <w:divBdr>
            <w:top w:val="none" w:sz="0" w:space="0" w:color="auto"/>
            <w:left w:val="none" w:sz="0" w:space="0" w:color="auto"/>
            <w:bottom w:val="none" w:sz="0" w:space="0" w:color="auto"/>
            <w:right w:val="none" w:sz="0" w:space="0" w:color="auto"/>
          </w:divBdr>
        </w:div>
        <w:div w:id="654800893">
          <w:marLeft w:val="360"/>
          <w:marRight w:val="0"/>
          <w:marTop w:val="0"/>
          <w:marBottom w:val="0"/>
          <w:divBdr>
            <w:top w:val="none" w:sz="0" w:space="0" w:color="auto"/>
            <w:left w:val="none" w:sz="0" w:space="0" w:color="auto"/>
            <w:bottom w:val="none" w:sz="0" w:space="0" w:color="auto"/>
            <w:right w:val="none" w:sz="0" w:space="0" w:color="auto"/>
          </w:divBdr>
        </w:div>
        <w:div w:id="1473794387">
          <w:marLeft w:val="360"/>
          <w:marRight w:val="0"/>
          <w:marTop w:val="0"/>
          <w:marBottom w:val="0"/>
          <w:divBdr>
            <w:top w:val="none" w:sz="0" w:space="0" w:color="auto"/>
            <w:left w:val="none" w:sz="0" w:space="0" w:color="auto"/>
            <w:bottom w:val="none" w:sz="0" w:space="0" w:color="auto"/>
            <w:right w:val="none" w:sz="0" w:space="0" w:color="auto"/>
          </w:divBdr>
        </w:div>
        <w:div w:id="449085114">
          <w:marLeft w:val="360"/>
          <w:marRight w:val="0"/>
          <w:marTop w:val="0"/>
          <w:marBottom w:val="0"/>
          <w:divBdr>
            <w:top w:val="none" w:sz="0" w:space="0" w:color="auto"/>
            <w:left w:val="none" w:sz="0" w:space="0" w:color="auto"/>
            <w:bottom w:val="none" w:sz="0" w:space="0" w:color="auto"/>
            <w:right w:val="none" w:sz="0" w:space="0" w:color="auto"/>
          </w:divBdr>
        </w:div>
      </w:divsChild>
    </w:div>
    <w:div w:id="1329091659">
      <w:bodyDiv w:val="1"/>
      <w:marLeft w:val="0"/>
      <w:marRight w:val="0"/>
      <w:marTop w:val="0"/>
      <w:marBottom w:val="0"/>
      <w:divBdr>
        <w:top w:val="none" w:sz="0" w:space="0" w:color="auto"/>
        <w:left w:val="none" w:sz="0" w:space="0" w:color="auto"/>
        <w:bottom w:val="none" w:sz="0" w:space="0" w:color="auto"/>
        <w:right w:val="none" w:sz="0" w:space="0" w:color="auto"/>
      </w:divBdr>
      <w:divsChild>
        <w:div w:id="1164318050">
          <w:marLeft w:val="360"/>
          <w:marRight w:val="0"/>
          <w:marTop w:val="0"/>
          <w:marBottom w:val="0"/>
          <w:divBdr>
            <w:top w:val="none" w:sz="0" w:space="0" w:color="auto"/>
            <w:left w:val="none" w:sz="0" w:space="0" w:color="auto"/>
            <w:bottom w:val="none" w:sz="0" w:space="0" w:color="auto"/>
            <w:right w:val="none" w:sz="0" w:space="0" w:color="auto"/>
          </w:divBdr>
        </w:div>
        <w:div w:id="269554772">
          <w:marLeft w:val="360"/>
          <w:marRight w:val="0"/>
          <w:marTop w:val="0"/>
          <w:marBottom w:val="0"/>
          <w:divBdr>
            <w:top w:val="none" w:sz="0" w:space="0" w:color="auto"/>
            <w:left w:val="none" w:sz="0" w:space="0" w:color="auto"/>
            <w:bottom w:val="none" w:sz="0" w:space="0" w:color="auto"/>
            <w:right w:val="none" w:sz="0" w:space="0" w:color="auto"/>
          </w:divBdr>
        </w:div>
        <w:div w:id="1493908398">
          <w:marLeft w:val="360"/>
          <w:marRight w:val="0"/>
          <w:marTop w:val="0"/>
          <w:marBottom w:val="0"/>
          <w:divBdr>
            <w:top w:val="none" w:sz="0" w:space="0" w:color="auto"/>
            <w:left w:val="none" w:sz="0" w:space="0" w:color="auto"/>
            <w:bottom w:val="none" w:sz="0" w:space="0" w:color="auto"/>
            <w:right w:val="none" w:sz="0" w:space="0" w:color="auto"/>
          </w:divBdr>
        </w:div>
        <w:div w:id="1848321579">
          <w:marLeft w:val="360"/>
          <w:marRight w:val="0"/>
          <w:marTop w:val="0"/>
          <w:marBottom w:val="0"/>
          <w:divBdr>
            <w:top w:val="none" w:sz="0" w:space="0" w:color="auto"/>
            <w:left w:val="none" w:sz="0" w:space="0" w:color="auto"/>
            <w:bottom w:val="none" w:sz="0" w:space="0" w:color="auto"/>
            <w:right w:val="none" w:sz="0" w:space="0" w:color="auto"/>
          </w:divBdr>
        </w:div>
      </w:divsChild>
    </w:div>
    <w:div w:id="1650472676">
      <w:bodyDiv w:val="1"/>
      <w:marLeft w:val="0"/>
      <w:marRight w:val="0"/>
      <w:marTop w:val="0"/>
      <w:marBottom w:val="0"/>
      <w:divBdr>
        <w:top w:val="none" w:sz="0" w:space="0" w:color="auto"/>
        <w:left w:val="none" w:sz="0" w:space="0" w:color="auto"/>
        <w:bottom w:val="none" w:sz="0" w:space="0" w:color="auto"/>
        <w:right w:val="none" w:sz="0" w:space="0" w:color="auto"/>
      </w:divBdr>
      <w:divsChild>
        <w:div w:id="1817406150">
          <w:marLeft w:val="0"/>
          <w:marRight w:val="0"/>
          <w:marTop w:val="0"/>
          <w:marBottom w:val="0"/>
          <w:divBdr>
            <w:top w:val="none" w:sz="0" w:space="0" w:color="auto"/>
            <w:left w:val="none" w:sz="0" w:space="0" w:color="auto"/>
            <w:bottom w:val="none" w:sz="0" w:space="0" w:color="auto"/>
            <w:right w:val="none" w:sz="0" w:space="0" w:color="auto"/>
          </w:divBdr>
          <w:divsChild>
            <w:div w:id="590628178">
              <w:marLeft w:val="0"/>
              <w:marRight w:val="0"/>
              <w:marTop w:val="0"/>
              <w:marBottom w:val="0"/>
              <w:divBdr>
                <w:top w:val="none" w:sz="0" w:space="0" w:color="auto"/>
                <w:left w:val="none" w:sz="0" w:space="0" w:color="auto"/>
                <w:bottom w:val="none" w:sz="0" w:space="0" w:color="auto"/>
                <w:right w:val="none" w:sz="0" w:space="0" w:color="auto"/>
              </w:divBdr>
              <w:divsChild>
                <w:div w:id="534345223">
                  <w:marLeft w:val="0"/>
                  <w:marRight w:val="0"/>
                  <w:marTop w:val="0"/>
                  <w:marBottom w:val="0"/>
                  <w:divBdr>
                    <w:top w:val="none" w:sz="0" w:space="0" w:color="auto"/>
                    <w:left w:val="none" w:sz="0" w:space="0" w:color="auto"/>
                    <w:bottom w:val="none" w:sz="0" w:space="0" w:color="auto"/>
                    <w:right w:val="none" w:sz="0" w:space="0" w:color="auto"/>
                  </w:divBdr>
                  <w:divsChild>
                    <w:div w:id="298147971">
                      <w:marLeft w:val="0"/>
                      <w:marRight w:val="0"/>
                      <w:marTop w:val="0"/>
                      <w:marBottom w:val="0"/>
                      <w:divBdr>
                        <w:top w:val="none" w:sz="0" w:space="0" w:color="auto"/>
                        <w:left w:val="none" w:sz="0" w:space="0" w:color="auto"/>
                        <w:bottom w:val="none" w:sz="0" w:space="0" w:color="auto"/>
                        <w:right w:val="none" w:sz="0" w:space="0" w:color="auto"/>
                      </w:divBdr>
                      <w:divsChild>
                        <w:div w:id="1839923624">
                          <w:marLeft w:val="0"/>
                          <w:marRight w:val="0"/>
                          <w:marTop w:val="0"/>
                          <w:marBottom w:val="0"/>
                          <w:divBdr>
                            <w:top w:val="none" w:sz="0" w:space="0" w:color="auto"/>
                            <w:left w:val="none" w:sz="0" w:space="0" w:color="auto"/>
                            <w:bottom w:val="none" w:sz="0" w:space="0" w:color="auto"/>
                            <w:right w:val="none" w:sz="0" w:space="0" w:color="auto"/>
                          </w:divBdr>
                          <w:divsChild>
                            <w:div w:id="83263460">
                              <w:marLeft w:val="0"/>
                              <w:marRight w:val="0"/>
                              <w:marTop w:val="0"/>
                              <w:marBottom w:val="0"/>
                              <w:divBdr>
                                <w:top w:val="none" w:sz="0" w:space="0" w:color="auto"/>
                                <w:left w:val="none" w:sz="0" w:space="0" w:color="auto"/>
                                <w:bottom w:val="none" w:sz="0" w:space="0" w:color="auto"/>
                                <w:right w:val="none" w:sz="0" w:space="0" w:color="auto"/>
                              </w:divBdr>
                              <w:divsChild>
                                <w:div w:id="14306479">
                                  <w:marLeft w:val="0"/>
                                  <w:marRight w:val="0"/>
                                  <w:marTop w:val="0"/>
                                  <w:marBottom w:val="0"/>
                                  <w:divBdr>
                                    <w:top w:val="none" w:sz="0" w:space="0" w:color="auto"/>
                                    <w:left w:val="none" w:sz="0" w:space="0" w:color="auto"/>
                                    <w:bottom w:val="none" w:sz="0" w:space="0" w:color="auto"/>
                                    <w:right w:val="none" w:sz="0" w:space="0" w:color="auto"/>
                                  </w:divBdr>
                                  <w:divsChild>
                                    <w:div w:id="596328509">
                                      <w:marLeft w:val="0"/>
                                      <w:marRight w:val="0"/>
                                      <w:marTop w:val="0"/>
                                      <w:marBottom w:val="0"/>
                                      <w:divBdr>
                                        <w:top w:val="none" w:sz="0" w:space="0" w:color="auto"/>
                                        <w:left w:val="none" w:sz="0" w:space="0" w:color="auto"/>
                                        <w:bottom w:val="none" w:sz="0" w:space="0" w:color="auto"/>
                                        <w:right w:val="none" w:sz="0" w:space="0" w:color="auto"/>
                                      </w:divBdr>
                                      <w:divsChild>
                                        <w:div w:id="934872115">
                                          <w:marLeft w:val="0"/>
                                          <w:marRight w:val="0"/>
                                          <w:marTop w:val="0"/>
                                          <w:marBottom w:val="0"/>
                                          <w:divBdr>
                                            <w:top w:val="none" w:sz="0" w:space="0" w:color="auto"/>
                                            <w:left w:val="none" w:sz="0" w:space="0" w:color="auto"/>
                                            <w:bottom w:val="none" w:sz="0" w:space="0" w:color="auto"/>
                                            <w:right w:val="none" w:sz="0" w:space="0" w:color="auto"/>
                                          </w:divBdr>
                                          <w:divsChild>
                                            <w:div w:id="2120710881">
                                              <w:marLeft w:val="0"/>
                                              <w:marRight w:val="0"/>
                                              <w:marTop w:val="0"/>
                                              <w:marBottom w:val="0"/>
                                              <w:divBdr>
                                                <w:top w:val="none" w:sz="0" w:space="0" w:color="auto"/>
                                                <w:left w:val="none" w:sz="0" w:space="0" w:color="auto"/>
                                                <w:bottom w:val="none" w:sz="0" w:space="0" w:color="auto"/>
                                                <w:right w:val="none" w:sz="0" w:space="0" w:color="auto"/>
                                              </w:divBdr>
                                              <w:divsChild>
                                                <w:div w:id="1284923238">
                                                  <w:marLeft w:val="0"/>
                                                  <w:marRight w:val="0"/>
                                                  <w:marTop w:val="0"/>
                                                  <w:marBottom w:val="0"/>
                                                  <w:divBdr>
                                                    <w:top w:val="none" w:sz="0" w:space="0" w:color="auto"/>
                                                    <w:left w:val="none" w:sz="0" w:space="0" w:color="auto"/>
                                                    <w:bottom w:val="none" w:sz="0" w:space="0" w:color="auto"/>
                                                    <w:right w:val="none" w:sz="0" w:space="0" w:color="auto"/>
                                                  </w:divBdr>
                                                  <w:divsChild>
                                                    <w:div w:id="1322654464">
                                                      <w:marLeft w:val="0"/>
                                                      <w:marRight w:val="0"/>
                                                      <w:marTop w:val="0"/>
                                                      <w:marBottom w:val="0"/>
                                                      <w:divBdr>
                                                        <w:top w:val="none" w:sz="0" w:space="0" w:color="auto"/>
                                                        <w:left w:val="none" w:sz="0" w:space="0" w:color="auto"/>
                                                        <w:bottom w:val="none" w:sz="0" w:space="0" w:color="auto"/>
                                                        <w:right w:val="none" w:sz="0" w:space="0" w:color="auto"/>
                                                      </w:divBdr>
                                                      <w:divsChild>
                                                        <w:div w:id="15181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642281">
      <w:bodyDiv w:val="1"/>
      <w:marLeft w:val="0"/>
      <w:marRight w:val="0"/>
      <w:marTop w:val="0"/>
      <w:marBottom w:val="0"/>
      <w:divBdr>
        <w:top w:val="none" w:sz="0" w:space="0" w:color="auto"/>
        <w:left w:val="none" w:sz="0" w:space="0" w:color="auto"/>
        <w:bottom w:val="none" w:sz="0" w:space="0" w:color="auto"/>
        <w:right w:val="none" w:sz="0" w:space="0" w:color="auto"/>
      </w:divBdr>
      <w:divsChild>
        <w:div w:id="1364355826">
          <w:marLeft w:val="360"/>
          <w:marRight w:val="0"/>
          <w:marTop w:val="0"/>
          <w:marBottom w:val="0"/>
          <w:divBdr>
            <w:top w:val="none" w:sz="0" w:space="0" w:color="auto"/>
            <w:left w:val="none" w:sz="0" w:space="0" w:color="auto"/>
            <w:bottom w:val="none" w:sz="0" w:space="0" w:color="auto"/>
            <w:right w:val="none" w:sz="0" w:space="0" w:color="auto"/>
          </w:divBdr>
        </w:div>
        <w:div w:id="1155074889">
          <w:marLeft w:val="360"/>
          <w:marRight w:val="0"/>
          <w:marTop w:val="0"/>
          <w:marBottom w:val="0"/>
          <w:divBdr>
            <w:top w:val="none" w:sz="0" w:space="0" w:color="auto"/>
            <w:left w:val="none" w:sz="0" w:space="0" w:color="auto"/>
            <w:bottom w:val="none" w:sz="0" w:space="0" w:color="auto"/>
            <w:right w:val="none" w:sz="0" w:space="0" w:color="auto"/>
          </w:divBdr>
        </w:div>
        <w:div w:id="15470840">
          <w:marLeft w:val="360"/>
          <w:marRight w:val="0"/>
          <w:marTop w:val="0"/>
          <w:marBottom w:val="0"/>
          <w:divBdr>
            <w:top w:val="none" w:sz="0" w:space="0" w:color="auto"/>
            <w:left w:val="none" w:sz="0" w:space="0" w:color="auto"/>
            <w:bottom w:val="none" w:sz="0" w:space="0" w:color="auto"/>
            <w:right w:val="none" w:sz="0" w:space="0" w:color="auto"/>
          </w:divBdr>
        </w:div>
        <w:div w:id="209670333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h.gov.uk/doh/finman.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504B3-B1D6-4F16-93B4-668B0406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6775</Words>
  <Characters>38622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45307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anewall</dc:creator>
  <cp:lastModifiedBy>Dominic Fryer</cp:lastModifiedBy>
  <cp:revision>13</cp:revision>
  <cp:lastPrinted>2014-03-31T17:22:00Z</cp:lastPrinted>
  <dcterms:created xsi:type="dcterms:W3CDTF">2014-03-31T16:54:00Z</dcterms:created>
  <dcterms:modified xsi:type="dcterms:W3CDTF">2014-07-10T08:05:00Z</dcterms:modified>
</cp:coreProperties>
</file>