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83" w:rsidRPr="00D911CD" w:rsidRDefault="006F3752">
      <w:pPr>
        <w:rPr>
          <w:b/>
          <w:color w:val="365F91" w:themeColor="accent1" w:themeShade="BF"/>
        </w:rPr>
      </w:pPr>
      <w:r w:rsidRPr="00D911CD">
        <w:rPr>
          <w:b/>
          <w:color w:val="365F91" w:themeColor="accent1" w:themeShade="BF"/>
        </w:rPr>
        <w:t xml:space="preserve">Earnings Before Interest, Taxation, Depreciation and </w:t>
      </w:r>
      <w:proofErr w:type="spellStart"/>
      <w:r w:rsidRPr="00D911CD">
        <w:rPr>
          <w:b/>
          <w:color w:val="365F91" w:themeColor="accent1" w:themeShade="BF"/>
        </w:rPr>
        <w:t>Amortisation</w:t>
      </w:r>
      <w:proofErr w:type="spellEnd"/>
      <w:r w:rsidRPr="00D911CD">
        <w:rPr>
          <w:b/>
          <w:color w:val="365F91" w:themeColor="accent1" w:themeShade="BF"/>
        </w:rPr>
        <w:t xml:space="preserve"> (EBITDA)</w:t>
      </w:r>
    </w:p>
    <w:p w:rsidR="008D3B1A" w:rsidRDefault="008D3B1A">
      <w:pPr>
        <w:rPr>
          <w:b/>
          <w:color w:val="365F91" w:themeColor="accent1" w:themeShade="BF"/>
        </w:rPr>
      </w:pPr>
    </w:p>
    <w:p w:rsidR="006F3752" w:rsidRPr="00D911CD" w:rsidRDefault="002E227B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Clarifying the </w:t>
      </w:r>
      <w:r w:rsidR="006F3752" w:rsidRPr="00D911CD">
        <w:rPr>
          <w:b/>
          <w:color w:val="365F91" w:themeColor="accent1" w:themeShade="BF"/>
        </w:rPr>
        <w:t>Definition for the HE Sector</w:t>
      </w:r>
    </w:p>
    <w:p w:rsidR="006F3752" w:rsidRDefault="006F3752">
      <w:pPr>
        <w:rPr>
          <w:b/>
          <w:color w:val="365F91" w:themeColor="accent1" w:themeShade="BF"/>
        </w:rPr>
      </w:pPr>
    </w:p>
    <w:p w:rsidR="008D3B1A" w:rsidRDefault="008D3B1A">
      <w:pPr>
        <w:rPr>
          <w:b/>
          <w:color w:val="365F91" w:themeColor="accent1" w:themeShade="BF"/>
        </w:rPr>
      </w:pPr>
    </w:p>
    <w:p w:rsidR="009A4E2B" w:rsidRDefault="009A4E2B">
      <w:pPr>
        <w:rPr>
          <w:b/>
          <w:color w:val="365F91" w:themeColor="accent1" w:themeShade="BF"/>
        </w:rPr>
      </w:pPr>
    </w:p>
    <w:p w:rsidR="006F3752" w:rsidRPr="00D911CD" w:rsidRDefault="006F3752">
      <w:pPr>
        <w:rPr>
          <w:b/>
          <w:color w:val="365F91" w:themeColor="accent1" w:themeShade="BF"/>
        </w:rPr>
      </w:pPr>
      <w:r w:rsidRPr="00D911CD">
        <w:rPr>
          <w:b/>
          <w:color w:val="365F91" w:themeColor="accent1" w:themeShade="BF"/>
        </w:rPr>
        <w:t>What is EBITDA?</w:t>
      </w:r>
    </w:p>
    <w:p w:rsidR="006F3752" w:rsidRDefault="006F3752"/>
    <w:p w:rsidR="006F3752" w:rsidRDefault="006F3752">
      <w:r>
        <w:t xml:space="preserve">It is a measure of operating surplus, excluding the major accounting adjustments and finance charges. </w:t>
      </w:r>
      <w:r w:rsidR="00A800DA">
        <w:t>I</w:t>
      </w:r>
      <w:r>
        <w:t xml:space="preserve">t measures operating performance before </w:t>
      </w:r>
      <w:r w:rsidR="00A800DA">
        <w:t xml:space="preserve">local decisions on </w:t>
      </w:r>
      <w:r>
        <w:t>accounting and financ</w:t>
      </w:r>
      <w:r w:rsidR="001A266C">
        <w:t>ing</w:t>
      </w:r>
      <w:r>
        <w:t xml:space="preserve"> policies are taken into account</w:t>
      </w:r>
      <w:r w:rsidR="008D3B1A">
        <w:t xml:space="preserve">. It provides a good </w:t>
      </w:r>
      <w:r w:rsidR="00B0072B">
        <w:t>indicator of financial capability to service debt and/or f</w:t>
      </w:r>
      <w:r w:rsidR="001A266C">
        <w:t>und</w:t>
      </w:r>
      <w:r w:rsidR="00B0072B">
        <w:t xml:space="preserve"> capital expenditure</w:t>
      </w:r>
      <w:r w:rsidR="008D3B1A">
        <w:t xml:space="preserve"> from internally generated cash</w:t>
      </w:r>
      <w:r>
        <w:t>.</w:t>
      </w:r>
    </w:p>
    <w:p w:rsidR="006F3752" w:rsidRDefault="006F3752"/>
    <w:p w:rsidR="009A4E2B" w:rsidRDefault="009A4E2B"/>
    <w:p w:rsidR="006F3752" w:rsidRPr="00D911CD" w:rsidRDefault="006F3752">
      <w:pPr>
        <w:rPr>
          <w:b/>
          <w:color w:val="365F91" w:themeColor="accent1" w:themeShade="BF"/>
        </w:rPr>
      </w:pPr>
      <w:r w:rsidRPr="00D911CD">
        <w:rPr>
          <w:b/>
          <w:color w:val="365F91" w:themeColor="accent1" w:themeShade="BF"/>
        </w:rPr>
        <w:t>Why does EBITDA need a standard definition?</w:t>
      </w:r>
    </w:p>
    <w:p w:rsidR="006F3752" w:rsidRDefault="006F3752"/>
    <w:p w:rsidR="006F3752" w:rsidRDefault="006F3752">
      <w:r>
        <w:t>There is no authoritative definition of EBITDA</w:t>
      </w:r>
      <w:r w:rsidR="001A266C">
        <w:t xml:space="preserve"> and HE has some </w:t>
      </w:r>
      <w:r w:rsidR="002E227B">
        <w:t xml:space="preserve">unique </w:t>
      </w:r>
      <w:r w:rsidR="001A266C">
        <w:t>features which are different from those faced in the corporate sector</w:t>
      </w:r>
      <w:r w:rsidR="002E227B">
        <w:t>:</w:t>
      </w:r>
      <w:r>
        <w:t xml:space="preserve">  </w:t>
      </w:r>
    </w:p>
    <w:p w:rsidR="006F3752" w:rsidRDefault="006F3752"/>
    <w:p w:rsidR="006F3752" w:rsidRDefault="0014297A" w:rsidP="008758D8">
      <w:pPr>
        <w:pStyle w:val="ListParagraph"/>
        <w:numPr>
          <w:ilvl w:val="0"/>
          <w:numId w:val="1"/>
        </w:numPr>
        <w:ind w:left="0" w:hanging="426"/>
      </w:pPr>
      <w:r>
        <w:t>C</w:t>
      </w:r>
      <w:r w:rsidR="006F3752">
        <w:t xml:space="preserve">apital expenditure </w:t>
      </w:r>
      <w:r>
        <w:t xml:space="preserve">funded by </w:t>
      </w:r>
      <w:r w:rsidR="006F3752">
        <w:t xml:space="preserve">capital grants </w:t>
      </w:r>
      <w:r>
        <w:t xml:space="preserve">results in </w:t>
      </w:r>
      <w:r w:rsidR="006F3752">
        <w:t xml:space="preserve">deferred income. </w:t>
      </w:r>
      <w:r w:rsidR="00A800DA">
        <w:t>A</w:t>
      </w:r>
      <w:r w:rsidR="00D911CD">
        <w:t xml:space="preserve">s well as adding back depreciation charges to arrive at EBITDA, the release of deferred capital grants </w:t>
      </w:r>
      <w:r w:rsidR="00A800DA">
        <w:t xml:space="preserve">should </w:t>
      </w:r>
      <w:r w:rsidR="000F1864">
        <w:t xml:space="preserve">also </w:t>
      </w:r>
      <w:r w:rsidR="00A800DA">
        <w:t xml:space="preserve">be </w:t>
      </w:r>
      <w:r w:rsidR="0004155F">
        <w:t>excluded</w:t>
      </w:r>
      <w:r w:rsidR="00A64A84">
        <w:t xml:space="preserve"> as </w:t>
      </w:r>
      <w:r w:rsidR="00D911CD">
        <w:t>these are a consequence of a financing method</w:t>
      </w:r>
      <w:r w:rsidR="00A800DA">
        <w:t xml:space="preserve"> and</w:t>
      </w:r>
      <w:r w:rsidR="00D911CD">
        <w:t xml:space="preserve"> a product of an accounting policy.   </w:t>
      </w:r>
    </w:p>
    <w:p w:rsidR="006F3752" w:rsidRDefault="006F3752"/>
    <w:p w:rsidR="00C16AF4" w:rsidRDefault="008D3B1A" w:rsidP="008758D8">
      <w:pPr>
        <w:pStyle w:val="ListParagraph"/>
        <w:numPr>
          <w:ilvl w:val="0"/>
          <w:numId w:val="1"/>
        </w:numPr>
        <w:ind w:left="0" w:hanging="426"/>
      </w:pPr>
      <w:proofErr w:type="gramStart"/>
      <w:r>
        <w:t>PLCs</w:t>
      </w:r>
      <w:r w:rsidR="00626C84">
        <w:t xml:space="preserve"> </w:t>
      </w:r>
      <w:r w:rsidR="00952A90">
        <w:t xml:space="preserve"> account</w:t>
      </w:r>
      <w:proofErr w:type="gramEnd"/>
      <w:r w:rsidR="00952A90">
        <w:t xml:space="preserve"> for fin</w:t>
      </w:r>
      <w:r w:rsidR="00626C84">
        <w:t>ance c</w:t>
      </w:r>
      <w:r w:rsidR="00952A90">
        <w:t xml:space="preserve">harges on a net basis, </w:t>
      </w:r>
      <w:proofErr w:type="spellStart"/>
      <w:r w:rsidR="00952A90">
        <w:t>ie</w:t>
      </w:r>
      <w:proofErr w:type="spellEnd"/>
      <w:r w:rsidR="00952A90">
        <w:t xml:space="preserve"> finance are based on the net of interest payable and interest receivable</w:t>
      </w:r>
      <w:r w:rsidR="001A266C">
        <w:t xml:space="preserve"> and </w:t>
      </w:r>
      <w:r w:rsidR="00952A90">
        <w:t>EBITDA ex</w:t>
      </w:r>
      <w:r>
        <w:t>c</w:t>
      </w:r>
      <w:r w:rsidR="00952A90">
        <w:t xml:space="preserve">ludes these net finance charges. However, </w:t>
      </w:r>
      <w:r w:rsidR="000F1864">
        <w:t xml:space="preserve">the </w:t>
      </w:r>
      <w:r w:rsidR="00952A90">
        <w:t xml:space="preserve">HE </w:t>
      </w:r>
      <w:r w:rsidR="006F3752">
        <w:t>SORP gross</w:t>
      </w:r>
      <w:r w:rsidR="00952A90">
        <w:t>es</w:t>
      </w:r>
      <w:r w:rsidR="006F3752">
        <w:t xml:space="preserve"> up finance income and expenditure</w:t>
      </w:r>
      <w:r w:rsidR="000F1864">
        <w:t xml:space="preserve"> on the face of the I&amp;E,</w:t>
      </w:r>
      <w:r w:rsidR="0006407E">
        <w:t xml:space="preserve"> </w:t>
      </w:r>
      <w:r w:rsidR="006F3752">
        <w:t>reflect</w:t>
      </w:r>
      <w:r w:rsidR="0006407E">
        <w:t>ing</w:t>
      </w:r>
      <w:r w:rsidR="006F3752">
        <w:t xml:space="preserve"> a </w:t>
      </w:r>
      <w:r w:rsidR="00A800DA">
        <w:t xml:space="preserve">business model </w:t>
      </w:r>
      <w:r w:rsidR="006F3752">
        <w:t>where</w:t>
      </w:r>
      <w:r w:rsidR="00626C84">
        <w:t>, in substance,</w:t>
      </w:r>
      <w:r w:rsidR="00920D25">
        <w:t xml:space="preserve"> </w:t>
      </w:r>
      <w:r w:rsidR="006F3752">
        <w:t>endowment income funds operating expenditure in the form of endowed posts, scholarships and prizes</w:t>
      </w:r>
      <w:r w:rsidR="00952A90">
        <w:t xml:space="preserve"> – even though </w:t>
      </w:r>
      <w:r w:rsidR="00626C84">
        <w:t>such funding is legally  separate from university reserves</w:t>
      </w:r>
      <w:r w:rsidR="006F3752">
        <w:t>.</w:t>
      </w:r>
      <w:r w:rsidR="00D911CD">
        <w:t xml:space="preserve"> </w:t>
      </w:r>
      <w:r>
        <w:t xml:space="preserve"> In HE endowment investment income should not be excluded from EBITDA (as it matches operating expenditure) but interest and investment income from fixed and current asset investments (</w:t>
      </w:r>
      <w:proofErr w:type="spellStart"/>
      <w:r>
        <w:t>eg</w:t>
      </w:r>
      <w:proofErr w:type="spellEnd"/>
      <w:r>
        <w:t xml:space="preserve"> short term deposits) </w:t>
      </w:r>
      <w:r w:rsidR="00CE5D86" w:rsidRPr="00BE2DD7">
        <w:rPr>
          <w:i/>
        </w:rPr>
        <w:t>could</w:t>
      </w:r>
      <w:r w:rsidR="00CE5D86">
        <w:t xml:space="preserve"> be considered a legitimate</w:t>
      </w:r>
      <w:r>
        <w:t xml:space="preserve"> deduct</w:t>
      </w:r>
      <w:r w:rsidR="00CE5D86">
        <w:t xml:space="preserve">ion.  However, </w:t>
      </w:r>
      <w:r w:rsidR="002E227B">
        <w:t xml:space="preserve">it is </w:t>
      </w:r>
      <w:r w:rsidR="00CE5D86">
        <w:t>propose</w:t>
      </w:r>
      <w:r w:rsidR="002E227B">
        <w:t xml:space="preserve">d </w:t>
      </w:r>
      <w:r w:rsidR="00CE5D86">
        <w:t>that general interest and investment income is not treated as an EBITDA adjustment</w:t>
      </w:r>
      <w:r w:rsidR="00A56AF9">
        <w:t xml:space="preserve"> on grounds of materiality (HEIs are essentially </w:t>
      </w:r>
      <w:r w:rsidR="00A56AF9" w:rsidRPr="00A56AF9">
        <w:rPr>
          <w:i/>
        </w:rPr>
        <w:t>not for profits</w:t>
      </w:r>
      <w:r w:rsidR="00A56AF9">
        <w:t xml:space="preserve"> with small operating margins – we are different from the corporate sector)</w:t>
      </w:r>
      <w:r w:rsidR="00CE5D86">
        <w:t>.</w:t>
      </w:r>
    </w:p>
    <w:p w:rsidR="00C16AF4" w:rsidRDefault="00C16AF4" w:rsidP="00C16AF4">
      <w:pPr>
        <w:pStyle w:val="ListParagraph"/>
      </w:pPr>
    </w:p>
    <w:p w:rsidR="002E227B" w:rsidRPr="00D911CD" w:rsidRDefault="002E227B" w:rsidP="002E227B">
      <w:pPr>
        <w:rPr>
          <w:b/>
          <w:color w:val="365F91" w:themeColor="accent1" w:themeShade="BF"/>
        </w:rPr>
      </w:pPr>
      <w:r w:rsidRPr="00D911CD">
        <w:rPr>
          <w:b/>
          <w:color w:val="365F91" w:themeColor="accent1" w:themeShade="BF"/>
        </w:rPr>
        <w:t xml:space="preserve">Why </w:t>
      </w:r>
      <w:r>
        <w:rPr>
          <w:b/>
          <w:color w:val="365F91" w:themeColor="accent1" w:themeShade="BF"/>
        </w:rPr>
        <w:t>is this clarification being issued</w:t>
      </w:r>
      <w:r w:rsidRPr="00D911CD">
        <w:rPr>
          <w:b/>
          <w:color w:val="365F91" w:themeColor="accent1" w:themeShade="BF"/>
        </w:rPr>
        <w:t>?</w:t>
      </w:r>
    </w:p>
    <w:p w:rsidR="002E227B" w:rsidRDefault="002E227B"/>
    <w:p w:rsidR="002E227B" w:rsidRDefault="002E227B">
      <w:r>
        <w:t xml:space="preserve">The previous definition </w:t>
      </w:r>
      <w:r w:rsidR="00BE2DD7">
        <w:t xml:space="preserve">(May 2012) </w:t>
      </w:r>
      <w:r>
        <w:t xml:space="preserve">created some confusion because its starting point was ‘historic cost’ surplus but it ignored </w:t>
      </w:r>
      <w:r w:rsidR="00A64A84">
        <w:t xml:space="preserve">some </w:t>
      </w:r>
      <w:r>
        <w:t xml:space="preserve">historic cost adjustments such as release of revaluation reserves for example. It is important that a consistent accounting basis </w:t>
      </w:r>
      <w:r w:rsidR="0014297A">
        <w:t xml:space="preserve">is used </w:t>
      </w:r>
      <w:r w:rsidR="001A266C">
        <w:t xml:space="preserve">throughout the calculation. </w:t>
      </w:r>
    </w:p>
    <w:p w:rsidR="002E227B" w:rsidRDefault="002E227B"/>
    <w:p w:rsidR="002E227B" w:rsidRDefault="002E227B">
      <w:r>
        <w:t xml:space="preserve">The revised </w:t>
      </w:r>
      <w:r w:rsidR="001A266C">
        <w:t xml:space="preserve">EBITDA </w:t>
      </w:r>
      <w:r>
        <w:t xml:space="preserve">definition starts with the operating surplus for the year reported on the face of </w:t>
      </w:r>
      <w:proofErr w:type="gramStart"/>
      <w:r>
        <w:t>the I</w:t>
      </w:r>
      <w:proofErr w:type="gramEnd"/>
      <w:r>
        <w:t xml:space="preserve">&amp;E. This means that if a HEI adopts modified historic cost accounting, </w:t>
      </w:r>
      <w:r w:rsidR="001A266C">
        <w:t xml:space="preserve">all other things being equal, </w:t>
      </w:r>
      <w:r>
        <w:t>its surplus will be lower than a HEI that adopts historic cost accounting</w:t>
      </w:r>
      <w:r w:rsidR="0014297A">
        <w:t xml:space="preserve"> as a result of bearing a higher</w:t>
      </w:r>
      <w:r>
        <w:t xml:space="preserve"> depreciation charge </w:t>
      </w:r>
      <w:r w:rsidR="0014297A">
        <w:t>based on higher carrying value of its assets.</w:t>
      </w:r>
      <w:r>
        <w:t xml:space="preserve">  The resultant EBITDA calculation will </w:t>
      </w:r>
      <w:r w:rsidR="0014297A">
        <w:t>however</w:t>
      </w:r>
      <w:r>
        <w:t xml:space="preserve"> be identical </w:t>
      </w:r>
      <w:r w:rsidR="001A266C">
        <w:t xml:space="preserve">for both HEIs </w:t>
      </w:r>
      <w:r>
        <w:t>once depreciation is added back</w:t>
      </w:r>
      <w:r w:rsidR="0014297A">
        <w:t xml:space="preserve"> to the operating surplus</w:t>
      </w:r>
      <w:r>
        <w:t xml:space="preserve">. </w:t>
      </w:r>
    </w:p>
    <w:p w:rsidR="0014297A" w:rsidRDefault="0014297A"/>
    <w:p w:rsidR="00A64A84" w:rsidRDefault="001A266C">
      <w:r>
        <w:t xml:space="preserve">Other historic cost </w:t>
      </w:r>
      <w:r w:rsidR="00BE2DD7">
        <w:t>a</w:t>
      </w:r>
      <w:r>
        <w:t>djustments</w:t>
      </w:r>
      <w:r w:rsidR="00BE2DD7">
        <w:t xml:space="preserve">, shown in the memorandum note on the face of </w:t>
      </w:r>
      <w:proofErr w:type="gramStart"/>
      <w:r w:rsidR="00BE2DD7">
        <w:t>the I</w:t>
      </w:r>
      <w:proofErr w:type="gramEnd"/>
      <w:r w:rsidR="00BE2DD7">
        <w:t>&amp;E</w:t>
      </w:r>
      <w:r w:rsidR="005104A5">
        <w:t xml:space="preserve">, </w:t>
      </w:r>
      <w:r>
        <w:t>such as release of revaluation reserves on disposals are ignored</w:t>
      </w:r>
      <w:r w:rsidR="005104A5">
        <w:t xml:space="preserve">. HEIs that record high ‘book profits’ on asset disposals compared to those reporting lower profits on disposals arising from </w:t>
      </w:r>
      <w:r w:rsidR="005104A5">
        <w:lastRenderedPageBreak/>
        <w:t>modified historic cost accounting are not advantaged as the definition of EBITDA excludes FRS3 exceptional items as profits on disposals.</w:t>
      </w:r>
    </w:p>
    <w:p w:rsidR="00A64A84" w:rsidRDefault="00A64A84"/>
    <w:p w:rsidR="0014297A" w:rsidRDefault="00A64A84">
      <w:r>
        <w:t>The definition of EBITDA will need to be revisited in the light of FRS102. BUFDG will review the impact on EBITDA following the adoption of a new SORP.</w:t>
      </w:r>
      <w:r w:rsidR="00BE2DD7">
        <w:t xml:space="preserve"> </w:t>
      </w:r>
    </w:p>
    <w:p w:rsidR="00BE2DD7" w:rsidRDefault="00BE2DD7"/>
    <w:p w:rsidR="00D911CD" w:rsidRPr="00D911CD" w:rsidRDefault="001A266C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EBITDA</w:t>
      </w:r>
      <w:r w:rsidR="00D911CD" w:rsidRPr="00D911CD">
        <w:rPr>
          <w:b/>
          <w:color w:val="365F91" w:themeColor="accent1" w:themeShade="BF"/>
        </w:rPr>
        <w:t xml:space="preserve"> Definition</w:t>
      </w:r>
      <w:r w:rsidR="002E227B">
        <w:rPr>
          <w:b/>
          <w:color w:val="365F91" w:themeColor="accent1" w:themeShade="BF"/>
        </w:rPr>
        <w:t xml:space="preserve"> </w:t>
      </w:r>
      <w:r w:rsidR="00A64A84">
        <w:rPr>
          <w:b/>
          <w:color w:val="365F91" w:themeColor="accent1" w:themeShade="BF"/>
        </w:rPr>
        <w:t>(revised November 2013)</w:t>
      </w:r>
    </w:p>
    <w:p w:rsidR="00D911CD" w:rsidRDefault="00D911CD"/>
    <w:tbl>
      <w:tblPr>
        <w:tblStyle w:val="TableGrid"/>
        <w:tblW w:w="9747" w:type="dxa"/>
        <w:tblLook w:val="04A0"/>
      </w:tblPr>
      <w:tblGrid>
        <w:gridCol w:w="392"/>
        <w:gridCol w:w="3685"/>
        <w:gridCol w:w="5670"/>
      </w:tblGrid>
      <w:tr w:rsidR="00D911CD" w:rsidTr="00A800DA">
        <w:tc>
          <w:tcPr>
            <w:tcW w:w="392" w:type="dxa"/>
          </w:tcPr>
          <w:p w:rsidR="00D911CD" w:rsidRDefault="00D911CD"/>
        </w:tc>
        <w:tc>
          <w:tcPr>
            <w:tcW w:w="3685" w:type="dxa"/>
          </w:tcPr>
          <w:p w:rsidR="00D911CD" w:rsidRPr="0006407E" w:rsidRDefault="00D911CD" w:rsidP="009A4E2B">
            <w:pPr>
              <w:rPr>
                <w:b/>
              </w:rPr>
            </w:pPr>
            <w:r w:rsidRPr="0006407E">
              <w:rPr>
                <w:b/>
              </w:rPr>
              <w:t>Surplus for the Year</w:t>
            </w:r>
            <w:r w:rsidR="003E6216">
              <w:rPr>
                <w:b/>
              </w:rPr>
              <w:t xml:space="preserve"> </w:t>
            </w:r>
            <w:r w:rsidR="009A4E2B">
              <w:rPr>
                <w:b/>
              </w:rPr>
              <w:t>retained within general reserves</w:t>
            </w:r>
          </w:p>
        </w:tc>
        <w:tc>
          <w:tcPr>
            <w:tcW w:w="5670" w:type="dxa"/>
          </w:tcPr>
          <w:p w:rsidR="003E6216" w:rsidRDefault="00A64A84" w:rsidP="00C6469A">
            <w:r>
              <w:t xml:space="preserve">Taken from the face of </w:t>
            </w:r>
            <w:proofErr w:type="gramStart"/>
            <w:r>
              <w:t>the I</w:t>
            </w:r>
            <w:proofErr w:type="gramEnd"/>
            <w:r>
              <w:t>&amp;E Account, t</w:t>
            </w:r>
            <w:r w:rsidR="003E6216">
              <w:t xml:space="preserve">his </w:t>
            </w:r>
            <w:r w:rsidR="00EF6CD3">
              <w:t xml:space="preserve">measure </w:t>
            </w:r>
            <w:r>
              <w:t>addresses</w:t>
            </w:r>
            <w:r w:rsidR="00EF6CD3">
              <w:t xml:space="preserve"> </w:t>
            </w:r>
            <w:r>
              <w:t xml:space="preserve">the funding of </w:t>
            </w:r>
            <w:r w:rsidR="00EF6CD3">
              <w:t xml:space="preserve">expenditure from </w:t>
            </w:r>
            <w:r w:rsidR="00BE2DD7">
              <w:t xml:space="preserve">accumulated or expendable </w:t>
            </w:r>
            <w:r w:rsidR="00EF6CD3">
              <w:t>endowment</w:t>
            </w:r>
            <w:r w:rsidR="00BE2DD7">
              <w:t xml:space="preserve"> funds</w:t>
            </w:r>
            <w:r>
              <w:t>, an intrinsic part of the HE business model</w:t>
            </w:r>
            <w:r w:rsidR="003E6216">
              <w:t>.</w:t>
            </w:r>
            <w:r w:rsidR="00F57804">
              <w:t xml:space="preserve"> </w:t>
            </w:r>
          </w:p>
          <w:p w:rsidR="003E6216" w:rsidRDefault="003E6216" w:rsidP="00C6469A"/>
          <w:p w:rsidR="00D911CD" w:rsidRPr="00F57804" w:rsidRDefault="002E227B" w:rsidP="002E227B">
            <w:pPr>
              <w:rPr>
                <w:i/>
              </w:rPr>
            </w:pPr>
            <w:r>
              <w:rPr>
                <w:i/>
              </w:rPr>
              <w:t>Note:</w:t>
            </w:r>
            <w:r w:rsidR="00F57804" w:rsidRPr="00F57804">
              <w:rPr>
                <w:i/>
              </w:rPr>
              <w:t xml:space="preserve"> this </w:t>
            </w:r>
            <w:r>
              <w:rPr>
                <w:i/>
              </w:rPr>
              <w:t xml:space="preserve">measure of the surplus </w:t>
            </w:r>
            <w:r w:rsidR="00F57804" w:rsidRPr="00F57804">
              <w:rPr>
                <w:i/>
              </w:rPr>
              <w:t>is NOT the measure used by HESA</w:t>
            </w:r>
            <w:r w:rsidR="005E3237">
              <w:rPr>
                <w:i/>
              </w:rPr>
              <w:t xml:space="preserve"> which captures the surplus before transfers to funds</w:t>
            </w:r>
            <w:r w:rsidR="00A64A84">
              <w:rPr>
                <w:i/>
              </w:rPr>
              <w:t xml:space="preserve"> and is</w:t>
            </w:r>
            <w:r w:rsidR="0014297A">
              <w:rPr>
                <w:i/>
              </w:rPr>
              <w:t xml:space="preserve"> based on historic cost memorandum information</w:t>
            </w:r>
            <w:r w:rsidR="00F57804">
              <w:rPr>
                <w:i/>
              </w:rPr>
              <w:t>.</w:t>
            </w:r>
          </w:p>
        </w:tc>
      </w:tr>
      <w:tr w:rsidR="00D911CD" w:rsidTr="00A800DA">
        <w:tc>
          <w:tcPr>
            <w:tcW w:w="392" w:type="dxa"/>
          </w:tcPr>
          <w:p w:rsidR="00D911CD" w:rsidRDefault="00D911CD">
            <w:r>
              <w:t>+</w:t>
            </w:r>
          </w:p>
        </w:tc>
        <w:tc>
          <w:tcPr>
            <w:tcW w:w="3685" w:type="dxa"/>
          </w:tcPr>
          <w:p w:rsidR="00D911CD" w:rsidRDefault="00D911CD" w:rsidP="000F1864">
            <w:r>
              <w:t>Interest payable</w:t>
            </w:r>
          </w:p>
        </w:tc>
        <w:tc>
          <w:tcPr>
            <w:tcW w:w="5670" w:type="dxa"/>
          </w:tcPr>
          <w:p w:rsidR="00BE2DD7" w:rsidRDefault="00D911CD" w:rsidP="00BE2DD7">
            <w:r>
              <w:t>Interest payable on debt</w:t>
            </w:r>
            <w:r w:rsidR="00BE2DD7">
              <w:t xml:space="preserve"> </w:t>
            </w:r>
          </w:p>
          <w:p w:rsidR="00D911CD" w:rsidRDefault="0004155F" w:rsidP="00BE2DD7">
            <w:r>
              <w:t xml:space="preserve">+ </w:t>
            </w:r>
            <w:r w:rsidR="00EF6CD3">
              <w:t xml:space="preserve">FRS17 </w:t>
            </w:r>
            <w:r w:rsidR="00D911CD">
              <w:t>finance charges</w:t>
            </w:r>
            <w:proofErr w:type="gramStart"/>
            <w:r w:rsidR="00E3688C">
              <w:t>/(</w:t>
            </w:r>
            <w:proofErr w:type="gramEnd"/>
            <w:r w:rsidR="00E3688C">
              <w:t>credits)</w:t>
            </w:r>
            <w:r>
              <w:t xml:space="preserve"> . </w:t>
            </w:r>
          </w:p>
        </w:tc>
      </w:tr>
      <w:tr w:rsidR="000F1864" w:rsidTr="00A800DA">
        <w:tc>
          <w:tcPr>
            <w:tcW w:w="392" w:type="dxa"/>
          </w:tcPr>
          <w:p w:rsidR="000F1864" w:rsidRDefault="000F1864">
            <w:r>
              <w:t>+</w:t>
            </w:r>
          </w:p>
        </w:tc>
        <w:tc>
          <w:tcPr>
            <w:tcW w:w="3685" w:type="dxa"/>
          </w:tcPr>
          <w:p w:rsidR="000F1864" w:rsidRDefault="000F1864" w:rsidP="00EF6CD3">
            <w:r>
              <w:t>Tax charges</w:t>
            </w:r>
            <w:r w:rsidR="00EF6CD3">
              <w:t>/(credits)</w:t>
            </w:r>
          </w:p>
        </w:tc>
        <w:tc>
          <w:tcPr>
            <w:tcW w:w="5670" w:type="dxa"/>
          </w:tcPr>
          <w:p w:rsidR="000F1864" w:rsidRDefault="000F1864" w:rsidP="0006407E"/>
        </w:tc>
      </w:tr>
      <w:tr w:rsidR="00D911CD" w:rsidTr="00A800DA">
        <w:tc>
          <w:tcPr>
            <w:tcW w:w="392" w:type="dxa"/>
          </w:tcPr>
          <w:p w:rsidR="00D911CD" w:rsidRDefault="00A800DA">
            <w:r>
              <w:t>+</w:t>
            </w:r>
          </w:p>
        </w:tc>
        <w:tc>
          <w:tcPr>
            <w:tcW w:w="3685" w:type="dxa"/>
          </w:tcPr>
          <w:p w:rsidR="00D911CD" w:rsidRDefault="00A800DA" w:rsidP="000F1864">
            <w:r>
              <w:t>Depreciation</w:t>
            </w:r>
          </w:p>
        </w:tc>
        <w:tc>
          <w:tcPr>
            <w:tcW w:w="5670" w:type="dxa"/>
          </w:tcPr>
          <w:p w:rsidR="00D911CD" w:rsidRDefault="00856322" w:rsidP="00856322">
            <w:r>
              <w:t xml:space="preserve">The gross depreciation charge based on asset carrying values, regardless of whether assets are revalued or not. This would include </w:t>
            </w:r>
            <w:r w:rsidR="008156E9">
              <w:t>impairment charges</w:t>
            </w:r>
            <w:r>
              <w:t>.</w:t>
            </w:r>
          </w:p>
        </w:tc>
      </w:tr>
      <w:tr w:rsidR="00D911CD" w:rsidTr="00A800DA">
        <w:tc>
          <w:tcPr>
            <w:tcW w:w="392" w:type="dxa"/>
          </w:tcPr>
          <w:p w:rsidR="00D911CD" w:rsidRDefault="00A800DA">
            <w:r>
              <w:t>-</w:t>
            </w:r>
          </w:p>
        </w:tc>
        <w:tc>
          <w:tcPr>
            <w:tcW w:w="3685" w:type="dxa"/>
          </w:tcPr>
          <w:p w:rsidR="00D911CD" w:rsidRDefault="00A800DA" w:rsidP="000F1864">
            <w:r>
              <w:t>Release of deferred capital grants</w:t>
            </w:r>
          </w:p>
        </w:tc>
        <w:tc>
          <w:tcPr>
            <w:tcW w:w="5670" w:type="dxa"/>
          </w:tcPr>
          <w:p w:rsidR="00D911CD" w:rsidRDefault="003E6216" w:rsidP="005E3237">
            <w:r>
              <w:t xml:space="preserve">Release of deferred grants from all sources, </w:t>
            </w:r>
            <w:proofErr w:type="spellStart"/>
            <w:r>
              <w:t>eg</w:t>
            </w:r>
            <w:proofErr w:type="spellEnd"/>
            <w:r>
              <w:t xml:space="preserve">. Funding Councils, Research Councils, </w:t>
            </w:r>
            <w:proofErr w:type="gramStart"/>
            <w:r>
              <w:t>former</w:t>
            </w:r>
            <w:proofErr w:type="gramEnd"/>
            <w:r>
              <w:t xml:space="preserve"> </w:t>
            </w:r>
            <w:r w:rsidR="005E3237">
              <w:t>RDAs</w:t>
            </w:r>
            <w:r>
              <w:t>.</w:t>
            </w:r>
          </w:p>
        </w:tc>
      </w:tr>
      <w:tr w:rsidR="00D911CD" w:rsidTr="00A800DA">
        <w:tc>
          <w:tcPr>
            <w:tcW w:w="392" w:type="dxa"/>
          </w:tcPr>
          <w:p w:rsidR="00D911CD" w:rsidRDefault="00A800DA">
            <w:r>
              <w:t>+</w:t>
            </w:r>
          </w:p>
        </w:tc>
        <w:tc>
          <w:tcPr>
            <w:tcW w:w="3685" w:type="dxa"/>
          </w:tcPr>
          <w:p w:rsidR="00D911CD" w:rsidRDefault="00A800DA" w:rsidP="000F1864">
            <w:proofErr w:type="spellStart"/>
            <w:r>
              <w:t>Amortisation</w:t>
            </w:r>
            <w:proofErr w:type="spellEnd"/>
          </w:p>
        </w:tc>
        <w:tc>
          <w:tcPr>
            <w:tcW w:w="5670" w:type="dxa"/>
          </w:tcPr>
          <w:p w:rsidR="00D911CD" w:rsidRDefault="0006407E">
            <w:r>
              <w:t>Including release of goodwill/(negative goodwill)</w:t>
            </w:r>
          </w:p>
        </w:tc>
      </w:tr>
      <w:tr w:rsidR="00D911CD" w:rsidTr="00A800DA">
        <w:tc>
          <w:tcPr>
            <w:tcW w:w="392" w:type="dxa"/>
          </w:tcPr>
          <w:p w:rsidR="00D911CD" w:rsidRDefault="0006407E">
            <w:r>
              <w:t>-</w:t>
            </w:r>
          </w:p>
        </w:tc>
        <w:tc>
          <w:tcPr>
            <w:tcW w:w="3685" w:type="dxa"/>
          </w:tcPr>
          <w:p w:rsidR="00D911CD" w:rsidRDefault="00B0072B" w:rsidP="00C16AF4">
            <w:r>
              <w:t>E</w:t>
            </w:r>
            <w:r w:rsidR="0006407E">
              <w:t xml:space="preserve">xceptional items </w:t>
            </w:r>
            <w:r w:rsidR="00C16AF4">
              <w:t xml:space="preserve">as defined in </w:t>
            </w:r>
            <w:r w:rsidR="0006407E">
              <w:t>FRS3</w:t>
            </w:r>
          </w:p>
        </w:tc>
        <w:tc>
          <w:tcPr>
            <w:tcW w:w="5670" w:type="dxa"/>
          </w:tcPr>
          <w:p w:rsidR="00EF6CD3" w:rsidRDefault="00E3688C" w:rsidP="00EF6CD3">
            <w:r>
              <w:t>Ex</w:t>
            </w:r>
            <w:r w:rsidR="0006407E">
              <w:t>clud</w:t>
            </w:r>
            <w:r>
              <w:t>es</w:t>
            </w:r>
            <w:r w:rsidR="0006407E">
              <w:t xml:space="preserve"> one-off exceptional </w:t>
            </w:r>
            <w:r w:rsidR="00B0072B">
              <w:t>items such as</w:t>
            </w:r>
            <w:r w:rsidR="0006407E">
              <w:t xml:space="preserve"> profits</w:t>
            </w:r>
            <w:r w:rsidR="00C16AF4">
              <w:t>/losses arising from</w:t>
            </w:r>
            <w:r w:rsidR="0006407E">
              <w:t xml:space="preserve"> the disposal of fixed assets</w:t>
            </w:r>
            <w:r w:rsidR="00C16AF4">
              <w:t>, profits/losses</w:t>
            </w:r>
            <w:r w:rsidR="0006407E">
              <w:t xml:space="preserve"> </w:t>
            </w:r>
            <w:r w:rsidR="00C16AF4">
              <w:t xml:space="preserve">arising from the sale or termination of an activity </w:t>
            </w:r>
            <w:r w:rsidR="0006407E">
              <w:t xml:space="preserve">or costs of </w:t>
            </w:r>
            <w:r w:rsidR="00C16AF4">
              <w:t xml:space="preserve">a </w:t>
            </w:r>
            <w:r w:rsidR="0006407E">
              <w:t>fundamental restructuring</w:t>
            </w:r>
            <w:r w:rsidR="00C16AF4">
              <w:t xml:space="preserve"> (</w:t>
            </w:r>
            <w:r w:rsidR="00EF6CD3">
              <w:t xml:space="preserve">defined by </w:t>
            </w:r>
            <w:r w:rsidR="00C16AF4">
              <w:t>FRS3)</w:t>
            </w:r>
            <w:r w:rsidR="00EF6CD3">
              <w:t>.</w:t>
            </w:r>
          </w:p>
          <w:p w:rsidR="00EF6CD3" w:rsidRDefault="00EF6CD3" w:rsidP="00EF6CD3"/>
          <w:p w:rsidR="00D911CD" w:rsidRPr="00EF6CD3" w:rsidRDefault="00EF6CD3" w:rsidP="00A64A84">
            <w:pPr>
              <w:rPr>
                <w:i/>
              </w:rPr>
            </w:pPr>
            <w:r w:rsidRPr="00EF6CD3">
              <w:rPr>
                <w:i/>
              </w:rPr>
              <w:t>Note: this approach reduce</w:t>
            </w:r>
            <w:r w:rsidR="005E3237">
              <w:rPr>
                <w:i/>
              </w:rPr>
              <w:t>s</w:t>
            </w:r>
            <w:r w:rsidRPr="00EF6CD3">
              <w:rPr>
                <w:i/>
              </w:rPr>
              <w:t xml:space="preserve"> the room for </w:t>
            </w:r>
            <w:r w:rsidR="005E3237">
              <w:rPr>
                <w:i/>
              </w:rPr>
              <w:t>interpretation</w:t>
            </w:r>
            <w:r w:rsidRPr="00EF6CD3">
              <w:rPr>
                <w:i/>
              </w:rPr>
              <w:t xml:space="preserve">. Many HEIs isolate what they consider exceptional items that don’t meet FRS3 definitions </w:t>
            </w:r>
            <w:r w:rsidR="00FC3BF2">
              <w:rPr>
                <w:i/>
              </w:rPr>
              <w:t>–</w:t>
            </w:r>
            <w:r w:rsidRPr="00EF6CD3">
              <w:rPr>
                <w:i/>
              </w:rPr>
              <w:t xml:space="preserve"> </w:t>
            </w:r>
            <w:proofErr w:type="spellStart"/>
            <w:r w:rsidR="00FC3BF2">
              <w:rPr>
                <w:i/>
              </w:rPr>
              <w:t>eg</w:t>
            </w:r>
            <w:proofErr w:type="spellEnd"/>
            <w:r w:rsidR="00FC3BF2">
              <w:rPr>
                <w:i/>
              </w:rPr>
              <w:t xml:space="preserve"> </w:t>
            </w:r>
            <w:r w:rsidRPr="00EF6CD3">
              <w:rPr>
                <w:i/>
              </w:rPr>
              <w:t xml:space="preserve">in narrative reporting or by introducing separate lines ‘above the line’ on the face of </w:t>
            </w:r>
            <w:proofErr w:type="gramStart"/>
            <w:r w:rsidRPr="00EF6CD3">
              <w:rPr>
                <w:i/>
              </w:rPr>
              <w:t>the I</w:t>
            </w:r>
            <w:proofErr w:type="gramEnd"/>
            <w:r w:rsidRPr="00EF6CD3">
              <w:rPr>
                <w:i/>
              </w:rPr>
              <w:t xml:space="preserve">&amp;E. However, such an approach is open to </w:t>
            </w:r>
            <w:r w:rsidR="00F57804">
              <w:rPr>
                <w:i/>
              </w:rPr>
              <w:t xml:space="preserve">inconsistent </w:t>
            </w:r>
            <w:r w:rsidRPr="00EF6CD3">
              <w:rPr>
                <w:i/>
              </w:rPr>
              <w:t>interpretation</w:t>
            </w:r>
            <w:r w:rsidR="00A64A84">
              <w:rPr>
                <w:i/>
              </w:rPr>
              <w:t xml:space="preserve"> and should not be carried through to the EBITDA metric</w:t>
            </w:r>
            <w:r w:rsidRPr="00EF6CD3">
              <w:rPr>
                <w:i/>
              </w:rPr>
              <w:t xml:space="preserve">.  </w:t>
            </w:r>
            <w:r w:rsidR="0006407E" w:rsidRPr="00EF6CD3">
              <w:rPr>
                <w:i/>
              </w:rPr>
              <w:t xml:space="preserve">  </w:t>
            </w:r>
          </w:p>
        </w:tc>
      </w:tr>
      <w:tr w:rsidR="00D911CD" w:rsidTr="00A800DA">
        <w:tc>
          <w:tcPr>
            <w:tcW w:w="392" w:type="dxa"/>
          </w:tcPr>
          <w:p w:rsidR="00D911CD" w:rsidRDefault="0006407E">
            <w:r>
              <w:t>+</w:t>
            </w:r>
          </w:p>
        </w:tc>
        <w:tc>
          <w:tcPr>
            <w:tcW w:w="3685" w:type="dxa"/>
          </w:tcPr>
          <w:p w:rsidR="00D911CD" w:rsidRDefault="0006407E" w:rsidP="0004155F">
            <w:r>
              <w:t>FRS17 staff charges/(credit)</w:t>
            </w:r>
          </w:p>
        </w:tc>
        <w:tc>
          <w:tcPr>
            <w:tcW w:w="5670" w:type="dxa"/>
          </w:tcPr>
          <w:p w:rsidR="00D911CD" w:rsidRDefault="00EF6CD3" w:rsidP="00C16AF4">
            <w:r>
              <w:t>T</w:t>
            </w:r>
            <w:r w:rsidR="0004155F">
              <w:t>he FRS17 adjustment</w:t>
            </w:r>
            <w:r w:rsidR="00C16AF4">
              <w:t>, which could be a debit or a credit,</w:t>
            </w:r>
            <w:r w:rsidR="0004155F">
              <w:t xml:space="preserve"> that is reported through the ‘staffing cost’ line in the face of </w:t>
            </w:r>
            <w:proofErr w:type="gramStart"/>
            <w:r w:rsidR="0004155F">
              <w:t>the I</w:t>
            </w:r>
            <w:proofErr w:type="gramEnd"/>
            <w:r w:rsidR="0004155F">
              <w:t xml:space="preserve">&amp;E. Its exclusion </w:t>
            </w:r>
            <w:r w:rsidR="0006407E">
              <w:t>mirror</w:t>
            </w:r>
            <w:r w:rsidR="0004155F">
              <w:t>s</w:t>
            </w:r>
            <w:r w:rsidR="0006407E">
              <w:t xml:space="preserve"> the</w:t>
            </w:r>
            <w:r w:rsidR="0004155F">
              <w:t xml:space="preserve"> treatment</w:t>
            </w:r>
            <w:r w:rsidR="0006407E">
              <w:t xml:space="preserve"> of the FRS17 finance charge</w:t>
            </w:r>
            <w:proofErr w:type="gramStart"/>
            <w:r w:rsidR="0006407E">
              <w:t>/(</w:t>
            </w:r>
            <w:proofErr w:type="gramEnd"/>
            <w:r w:rsidR="0006407E">
              <w:t>credit)</w:t>
            </w:r>
            <w:r w:rsidR="0004155F">
              <w:t>.</w:t>
            </w:r>
          </w:p>
        </w:tc>
      </w:tr>
      <w:tr w:rsidR="0006407E" w:rsidTr="00A800DA">
        <w:tc>
          <w:tcPr>
            <w:tcW w:w="392" w:type="dxa"/>
          </w:tcPr>
          <w:p w:rsidR="0006407E" w:rsidRPr="0006407E" w:rsidRDefault="0006407E">
            <w:pPr>
              <w:rPr>
                <w:b/>
              </w:rPr>
            </w:pPr>
            <w:r w:rsidRPr="0006407E">
              <w:rPr>
                <w:b/>
              </w:rPr>
              <w:t>=</w:t>
            </w:r>
          </w:p>
        </w:tc>
        <w:tc>
          <w:tcPr>
            <w:tcW w:w="3685" w:type="dxa"/>
          </w:tcPr>
          <w:p w:rsidR="0006407E" w:rsidRPr="0006407E" w:rsidRDefault="0006407E" w:rsidP="00A64A84">
            <w:pPr>
              <w:rPr>
                <w:b/>
              </w:rPr>
            </w:pPr>
            <w:r w:rsidRPr="0006407E">
              <w:rPr>
                <w:b/>
              </w:rPr>
              <w:t>EBITDA</w:t>
            </w:r>
            <w:r w:rsidR="00A64A84"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06407E" w:rsidRDefault="0006407E"/>
        </w:tc>
      </w:tr>
    </w:tbl>
    <w:p w:rsidR="000F1864" w:rsidRDefault="000F1864" w:rsidP="000F1864">
      <w:pPr>
        <w:ind w:right="-853" w:hanging="142"/>
        <w:rPr>
          <w:i/>
          <w:sz w:val="22"/>
          <w:szCs w:val="22"/>
        </w:rPr>
      </w:pPr>
    </w:p>
    <w:p w:rsidR="005E3237" w:rsidRDefault="005E3237" w:rsidP="00F57804">
      <w:pPr>
        <w:ind w:right="-142"/>
        <w:rPr>
          <w:sz w:val="22"/>
          <w:szCs w:val="22"/>
        </w:rPr>
      </w:pPr>
    </w:p>
    <w:p w:rsidR="00F57804" w:rsidRPr="00F57804" w:rsidRDefault="00F57804" w:rsidP="00F57804">
      <w:pPr>
        <w:ind w:right="-142"/>
        <w:rPr>
          <w:sz w:val="22"/>
          <w:szCs w:val="22"/>
          <w:u w:val="single"/>
        </w:rPr>
      </w:pPr>
      <w:r w:rsidRPr="00F57804">
        <w:rPr>
          <w:sz w:val="22"/>
          <w:szCs w:val="22"/>
          <w:u w:val="single"/>
        </w:rPr>
        <w:t>Andrew Connolly</w:t>
      </w:r>
    </w:p>
    <w:p w:rsidR="00F57804" w:rsidRDefault="00F57804" w:rsidP="00F57804">
      <w:pPr>
        <w:ind w:right="-142"/>
        <w:rPr>
          <w:sz w:val="22"/>
          <w:szCs w:val="22"/>
        </w:rPr>
      </w:pPr>
      <w:r>
        <w:rPr>
          <w:sz w:val="22"/>
          <w:szCs w:val="22"/>
        </w:rPr>
        <w:t>Chair, BUFDG Financial Reporting Group</w:t>
      </w:r>
    </w:p>
    <w:p w:rsidR="009442F4" w:rsidRDefault="00BE2DD7" w:rsidP="00F57804">
      <w:pPr>
        <w:ind w:right="-142"/>
        <w:rPr>
          <w:sz w:val="22"/>
          <w:szCs w:val="22"/>
        </w:rPr>
      </w:pPr>
      <w:r>
        <w:rPr>
          <w:sz w:val="22"/>
          <w:szCs w:val="22"/>
        </w:rPr>
        <w:t>Chief Financial Officer</w:t>
      </w:r>
      <w:r w:rsidR="00F57804">
        <w:rPr>
          <w:sz w:val="22"/>
          <w:szCs w:val="22"/>
        </w:rPr>
        <w:t xml:space="preserve">, University of Exeter </w:t>
      </w:r>
      <w:r w:rsidR="00FC3BF2" w:rsidRPr="00F57804">
        <w:rPr>
          <w:sz w:val="22"/>
          <w:szCs w:val="22"/>
        </w:rPr>
        <w:t xml:space="preserve"> </w:t>
      </w:r>
    </w:p>
    <w:p w:rsidR="005E3237" w:rsidRPr="00F57804" w:rsidRDefault="00BE2DD7" w:rsidP="00F57804">
      <w:pPr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5E3237">
        <w:rPr>
          <w:sz w:val="22"/>
          <w:szCs w:val="22"/>
        </w:rPr>
        <w:t>201</w:t>
      </w:r>
      <w:r>
        <w:rPr>
          <w:sz w:val="22"/>
          <w:szCs w:val="22"/>
        </w:rPr>
        <w:t>3</w:t>
      </w:r>
    </w:p>
    <w:sectPr w:rsidR="005E3237" w:rsidRPr="00F57804" w:rsidSect="002E227B">
      <w:pgSz w:w="11900" w:h="16840"/>
      <w:pgMar w:top="1135" w:right="112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CEE"/>
    <w:multiLevelType w:val="hybridMultilevel"/>
    <w:tmpl w:val="5FE8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74606"/>
    <w:multiLevelType w:val="hybridMultilevel"/>
    <w:tmpl w:val="25EAE1C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5032F5"/>
    <w:multiLevelType w:val="hybridMultilevel"/>
    <w:tmpl w:val="F552D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26E02"/>
    <w:multiLevelType w:val="hybridMultilevel"/>
    <w:tmpl w:val="416C3A6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6F3752"/>
    <w:rsid w:val="0004155F"/>
    <w:rsid w:val="0006407E"/>
    <w:rsid w:val="000F1864"/>
    <w:rsid w:val="00141383"/>
    <w:rsid w:val="0014297A"/>
    <w:rsid w:val="001566EB"/>
    <w:rsid w:val="00196AEB"/>
    <w:rsid w:val="001A266C"/>
    <w:rsid w:val="002433FA"/>
    <w:rsid w:val="002E227B"/>
    <w:rsid w:val="00381B1F"/>
    <w:rsid w:val="003E6216"/>
    <w:rsid w:val="00421F2A"/>
    <w:rsid w:val="005104A5"/>
    <w:rsid w:val="00523304"/>
    <w:rsid w:val="005E3237"/>
    <w:rsid w:val="00626C84"/>
    <w:rsid w:val="006F3752"/>
    <w:rsid w:val="007C23BE"/>
    <w:rsid w:val="008156E9"/>
    <w:rsid w:val="00856322"/>
    <w:rsid w:val="008758D8"/>
    <w:rsid w:val="008D3B1A"/>
    <w:rsid w:val="00920D25"/>
    <w:rsid w:val="009442F4"/>
    <w:rsid w:val="00952A90"/>
    <w:rsid w:val="009A4E2B"/>
    <w:rsid w:val="00A56AF9"/>
    <w:rsid w:val="00A64A84"/>
    <w:rsid w:val="00A800DA"/>
    <w:rsid w:val="00AA2962"/>
    <w:rsid w:val="00B0072B"/>
    <w:rsid w:val="00BA3B4B"/>
    <w:rsid w:val="00BE2DD7"/>
    <w:rsid w:val="00C16AF4"/>
    <w:rsid w:val="00C6469A"/>
    <w:rsid w:val="00C87382"/>
    <w:rsid w:val="00CE5D86"/>
    <w:rsid w:val="00D25EF3"/>
    <w:rsid w:val="00D73C0C"/>
    <w:rsid w:val="00D911CD"/>
    <w:rsid w:val="00E3688C"/>
    <w:rsid w:val="00E452F2"/>
    <w:rsid w:val="00EC5CB8"/>
    <w:rsid w:val="00ED05D5"/>
    <w:rsid w:val="00EF6CD3"/>
    <w:rsid w:val="00F57804"/>
    <w:rsid w:val="00F61A7D"/>
    <w:rsid w:val="00FC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Connolly's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Connolly</dc:creator>
  <cp:keywords/>
  <dc:description/>
  <cp:lastModifiedBy>ac501</cp:lastModifiedBy>
  <cp:revision>2</cp:revision>
  <dcterms:created xsi:type="dcterms:W3CDTF">2013-11-13T12:36:00Z</dcterms:created>
  <dcterms:modified xsi:type="dcterms:W3CDTF">2013-11-13T12:36:00Z</dcterms:modified>
</cp:coreProperties>
</file>