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7FCF" w14:textId="77777777" w:rsidR="00C606C2" w:rsidRDefault="00C606C2">
      <w:pPr>
        <w:rPr>
          <w:b/>
          <w:color w:val="365F91" w:themeColor="accent1" w:themeShade="BF"/>
        </w:rPr>
      </w:pPr>
    </w:p>
    <w:p w14:paraId="3F160CC1" w14:textId="77777777" w:rsidR="00141383" w:rsidRPr="00D911CD" w:rsidRDefault="006F3752">
      <w:pPr>
        <w:rPr>
          <w:b/>
          <w:color w:val="365F91" w:themeColor="accent1" w:themeShade="BF"/>
        </w:rPr>
      </w:pPr>
      <w:r w:rsidRPr="00D911CD">
        <w:rPr>
          <w:b/>
          <w:color w:val="365F91" w:themeColor="accent1" w:themeShade="BF"/>
        </w:rPr>
        <w:t>Earnings Before Interest, Taxation, Depreciation and Amortisation (EBITDA</w:t>
      </w:r>
      <w:r w:rsidR="00777EBE">
        <w:rPr>
          <w:b/>
          <w:color w:val="365F91" w:themeColor="accent1" w:themeShade="BF"/>
        </w:rPr>
        <w:t xml:space="preserve"> for HE</w:t>
      </w:r>
      <w:r w:rsidRPr="00D911CD">
        <w:rPr>
          <w:b/>
          <w:color w:val="365F91" w:themeColor="accent1" w:themeShade="BF"/>
        </w:rPr>
        <w:t>)</w:t>
      </w:r>
    </w:p>
    <w:p w14:paraId="4BF418D0" w14:textId="77777777" w:rsidR="008D3B1A" w:rsidRDefault="008D3B1A">
      <w:pPr>
        <w:rPr>
          <w:b/>
          <w:color w:val="365F91" w:themeColor="accent1" w:themeShade="BF"/>
        </w:rPr>
      </w:pPr>
    </w:p>
    <w:p w14:paraId="6E68AF16" w14:textId="77777777" w:rsidR="00C606C2" w:rsidRDefault="00C606C2">
      <w:pPr>
        <w:rPr>
          <w:b/>
          <w:color w:val="365F91" w:themeColor="accent1" w:themeShade="BF"/>
        </w:rPr>
      </w:pPr>
    </w:p>
    <w:p w14:paraId="4111E2CB" w14:textId="77777777" w:rsidR="00613073" w:rsidRDefault="00613073">
      <w:pPr>
        <w:rPr>
          <w:b/>
          <w:color w:val="365F91" w:themeColor="accent1" w:themeShade="BF"/>
        </w:rPr>
      </w:pPr>
    </w:p>
    <w:p w14:paraId="66364CB4" w14:textId="77777777" w:rsidR="006F3752" w:rsidRDefault="00F35AF4">
      <w:r>
        <w:t xml:space="preserve">EBITDA </w:t>
      </w:r>
      <w:r w:rsidR="006F3752">
        <w:t xml:space="preserve">is a measure of operating surplus, excluding the major accounting adjustments and finance charges. </w:t>
      </w:r>
      <w:r w:rsidR="00A800DA">
        <w:t>I</w:t>
      </w:r>
      <w:r w:rsidR="006F3752">
        <w:t xml:space="preserve">t measures operating performance before </w:t>
      </w:r>
      <w:r w:rsidR="00A800DA">
        <w:t xml:space="preserve">local decisions on </w:t>
      </w:r>
      <w:r w:rsidR="006F3752">
        <w:t>accounting and financ</w:t>
      </w:r>
      <w:r w:rsidR="001A266C">
        <w:t>ing</w:t>
      </w:r>
      <w:r w:rsidR="006F3752">
        <w:t xml:space="preserve"> policies are taken into account</w:t>
      </w:r>
      <w:r w:rsidR="008D3B1A">
        <w:t>. It provides a</w:t>
      </w:r>
      <w:r w:rsidR="00AC12CB">
        <w:t>n</w:t>
      </w:r>
      <w:r w:rsidR="008D3B1A">
        <w:t xml:space="preserve"> </w:t>
      </w:r>
      <w:r w:rsidR="00B0072B">
        <w:t>indicator of financial capability to service debt and/or f</w:t>
      </w:r>
      <w:r w:rsidR="001A266C">
        <w:t>und</w:t>
      </w:r>
      <w:r w:rsidR="00B0072B">
        <w:t xml:space="preserve"> capital expenditure</w:t>
      </w:r>
      <w:r w:rsidR="008D3B1A">
        <w:t xml:space="preserve"> from internally generated cash</w:t>
      </w:r>
      <w:r w:rsidR="006F3752">
        <w:t>.</w:t>
      </w:r>
      <w:r w:rsidR="00480903">
        <w:t xml:space="preserve"> Its purpose is to understand </w:t>
      </w:r>
      <w:r w:rsidR="00480903" w:rsidRPr="003E1361">
        <w:rPr>
          <w:i/>
        </w:rPr>
        <w:t>underlying</w:t>
      </w:r>
      <w:r w:rsidR="00480903">
        <w:t xml:space="preserve"> financial performance </w:t>
      </w:r>
      <w:r w:rsidR="003E1361">
        <w:t xml:space="preserve">that is comparable over time and between universities. </w:t>
      </w:r>
    </w:p>
    <w:p w14:paraId="4C296FC1" w14:textId="77777777" w:rsidR="00AC12CB" w:rsidRDefault="00AC12CB"/>
    <w:p w14:paraId="6CB11B33" w14:textId="77777777" w:rsidR="00D372F5" w:rsidRDefault="00C606C2">
      <w:r>
        <w:t>T</w:t>
      </w:r>
      <w:r w:rsidR="00BE40E2">
        <w:t>here is no standard definition of EBITDA and the HE business model is different from the corporate sector, for example the way HE is funded from capital grants and endowments and the prevalence of multi-employer pension schemes</w:t>
      </w:r>
      <w:r w:rsidR="00AC12CB">
        <w:t>.</w:t>
      </w:r>
      <w:r w:rsidR="00BE40E2">
        <w:t xml:space="preserve">  </w:t>
      </w:r>
    </w:p>
    <w:p w14:paraId="616D566E" w14:textId="77777777" w:rsidR="00D372F5" w:rsidRDefault="00D372F5"/>
    <w:p w14:paraId="3A99B12C" w14:textId="77777777" w:rsidR="00777EBE" w:rsidRDefault="00BE40E2" w:rsidP="00777EBE">
      <w:r>
        <w:t xml:space="preserve">EBITDA is a metric that has no formal status. It </w:t>
      </w:r>
      <w:r w:rsidR="00D37CE2">
        <w:t xml:space="preserve">is not defined in accounting standards, </w:t>
      </w:r>
      <w:r>
        <w:t xml:space="preserve">is not </w:t>
      </w:r>
      <w:r w:rsidR="00AB4E59">
        <w:t>part of prime financial statements</w:t>
      </w:r>
      <w:r w:rsidR="00F35AF4">
        <w:t>.</w:t>
      </w:r>
      <w:r>
        <w:t xml:space="preserve"> Some HEI</w:t>
      </w:r>
      <w:r w:rsidR="006B78D5">
        <w:t>s</w:t>
      </w:r>
      <w:r>
        <w:t xml:space="preserve"> use EBITDA for their own internal purpose</w:t>
      </w:r>
      <w:r w:rsidR="00777EBE">
        <w:t>s</w:t>
      </w:r>
      <w:r w:rsidR="00F35AF4">
        <w:t xml:space="preserve"> and some may have banking covenants based on EBITDA</w:t>
      </w:r>
      <w:r>
        <w:t xml:space="preserve">. </w:t>
      </w:r>
      <w:r w:rsidR="00777EBE">
        <w:t xml:space="preserve">   </w:t>
      </w:r>
    </w:p>
    <w:p w14:paraId="352EBE73" w14:textId="77777777" w:rsidR="00B650E6" w:rsidRDefault="00B650E6" w:rsidP="00B650E6"/>
    <w:p w14:paraId="5D4D16F8" w14:textId="77777777" w:rsidR="00B650E6" w:rsidRDefault="00B650E6" w:rsidP="00B650E6">
      <w:r>
        <w:t xml:space="preserve">The last definition of EBITDA for HE issued by BUFDG (May 2016) was revised to take into account the withdrawal of FRS3 and FRS17 </w:t>
      </w:r>
      <w:r w:rsidR="00C606C2">
        <w:t xml:space="preserve">but it </w:t>
      </w:r>
      <w:r>
        <w:t xml:space="preserve">did </w:t>
      </w:r>
      <w:r w:rsidR="00C606C2">
        <w:t>not</w:t>
      </w:r>
      <w:r w:rsidR="00613073">
        <w:t xml:space="preserve"> comprehensively </w:t>
      </w:r>
      <w:r>
        <w:t xml:space="preserve">address </w:t>
      </w:r>
      <w:r w:rsidR="00613073">
        <w:t xml:space="preserve">the impact of </w:t>
      </w:r>
      <w:r>
        <w:t>FRS102</w:t>
      </w:r>
      <w:r w:rsidR="00D37CE2">
        <w:t>.</w:t>
      </w:r>
      <w:r w:rsidR="00D37CE2" w:rsidRPr="00D37CE2">
        <w:t xml:space="preserve"> </w:t>
      </w:r>
      <w:r>
        <w:t xml:space="preserve">            </w:t>
      </w:r>
    </w:p>
    <w:p w14:paraId="71771616" w14:textId="77777777" w:rsidR="00BE40E2" w:rsidRDefault="00BE40E2"/>
    <w:p w14:paraId="00973CB6" w14:textId="77777777" w:rsidR="00480903" w:rsidRDefault="00C606C2">
      <w:r>
        <w:t>This revised definition of EBITDA for HE address the impact of FRS102. However, there</w:t>
      </w:r>
      <w:r w:rsidR="00480903">
        <w:t xml:space="preserve"> are 2 challenging issues</w:t>
      </w:r>
      <w:r>
        <w:t>:</w:t>
      </w:r>
    </w:p>
    <w:p w14:paraId="4500C931" w14:textId="77777777" w:rsidR="00480903" w:rsidRDefault="00480903"/>
    <w:p w14:paraId="4A3323AF" w14:textId="77777777" w:rsidR="00480903" w:rsidRDefault="00480903">
      <w:r w:rsidRPr="00480903">
        <w:rPr>
          <w:u w:val="single"/>
        </w:rPr>
        <w:t>New donations/endowments</w:t>
      </w:r>
      <w:r>
        <w:t xml:space="preserve">: </w:t>
      </w:r>
      <w:r w:rsidR="00613073">
        <w:t>D</w:t>
      </w:r>
      <w:r>
        <w:t xml:space="preserve">onations may have a recurrent element (annual funds) and the expenditure of both donations and expendable endowments will be charges against EBITDA, albeit with a </w:t>
      </w:r>
      <w:r w:rsidR="003E1361">
        <w:t xml:space="preserve">likely </w:t>
      </w:r>
      <w:r>
        <w:t xml:space="preserve">timing mis-match between their receipt </w:t>
      </w:r>
      <w:r w:rsidR="00F070F0">
        <w:t xml:space="preserve">in one year </w:t>
      </w:r>
      <w:r>
        <w:t xml:space="preserve">and expenditure in </w:t>
      </w:r>
      <w:r w:rsidR="00F070F0">
        <w:t xml:space="preserve">following </w:t>
      </w:r>
      <w:r>
        <w:t xml:space="preserve">years. EBITDA for HE </w:t>
      </w:r>
      <w:r w:rsidR="003E1361">
        <w:t>include</w:t>
      </w:r>
      <w:r w:rsidR="00613073">
        <w:t>s</w:t>
      </w:r>
      <w:r w:rsidR="003E1361">
        <w:t xml:space="preserve"> income from </w:t>
      </w:r>
      <w:r w:rsidR="00C606C2">
        <w:t xml:space="preserve">new </w:t>
      </w:r>
      <w:r w:rsidR="003E1361">
        <w:t>donation</w:t>
      </w:r>
      <w:r w:rsidR="00C606C2">
        <w:t>s</w:t>
      </w:r>
      <w:r w:rsidR="003E1361">
        <w:t xml:space="preserve"> and </w:t>
      </w:r>
      <w:r>
        <w:t>expendable endowments (but see exceptional items below)</w:t>
      </w:r>
      <w:r w:rsidR="00613073">
        <w:t>. However, new</w:t>
      </w:r>
      <w:r>
        <w:t xml:space="preserve"> </w:t>
      </w:r>
      <w:r w:rsidR="00613073">
        <w:t xml:space="preserve">permanent endowments </w:t>
      </w:r>
      <w:r w:rsidR="00C606C2">
        <w:t>are</w:t>
      </w:r>
      <w:r w:rsidR="00613073">
        <w:t xml:space="preserve"> excluded from EBITDA as they are capital type transactions where the value of the gift must be preserved.</w:t>
      </w:r>
    </w:p>
    <w:p w14:paraId="26ECCF6F" w14:textId="77777777" w:rsidR="00480903" w:rsidRDefault="00480903"/>
    <w:p w14:paraId="65DEAD83" w14:textId="77777777" w:rsidR="002251F2" w:rsidRDefault="00480903">
      <w:r w:rsidRPr="00480903">
        <w:rPr>
          <w:u w:val="single"/>
        </w:rPr>
        <w:t>Exceptional items</w:t>
      </w:r>
      <w:r>
        <w:t xml:space="preserve">: there is no longer an accounting standard that defines </w:t>
      </w:r>
      <w:r w:rsidRPr="00480903">
        <w:rPr>
          <w:i/>
        </w:rPr>
        <w:t>below the line</w:t>
      </w:r>
      <w:r>
        <w:t xml:space="preserve"> exceptional items. </w:t>
      </w:r>
      <w:r w:rsidR="00613073">
        <w:t xml:space="preserve">The former FRS3 was in any case restricted to a very limited number of exceptional events, such as profits on asset disposals and fundamental restructuring costs. </w:t>
      </w:r>
      <w:r w:rsidR="003E1361">
        <w:t xml:space="preserve">However, FRS102 permits us to disclose additional line items on the face of the SOCI </w:t>
      </w:r>
      <w:r w:rsidR="003E1361" w:rsidRPr="003E1361">
        <w:rPr>
          <w:i/>
        </w:rPr>
        <w:t>when such information is relevant to the understanding of the entity’s financial performance</w:t>
      </w:r>
      <w:r w:rsidR="003E1361">
        <w:t xml:space="preserve">. It is likely that this option will be used to identify material non-recurrent items as these can distort the understanding of performance. EBITDA for HE </w:t>
      </w:r>
      <w:r w:rsidR="00C606C2">
        <w:t xml:space="preserve">therefore </w:t>
      </w:r>
      <w:r w:rsidR="003E1361">
        <w:t>permits SOCI additional line disclosures to be adjusted for</w:t>
      </w:r>
      <w:r w:rsidR="00C606C2">
        <w:t xml:space="preserve"> as they </w:t>
      </w:r>
      <w:r w:rsidR="003E1361">
        <w:t>are likely to be akin to exceptional items</w:t>
      </w:r>
      <w:r w:rsidR="00C606C2">
        <w:t xml:space="preserve"> the </w:t>
      </w:r>
      <w:r w:rsidR="003E1361">
        <w:t xml:space="preserve">disclosure </w:t>
      </w:r>
      <w:r w:rsidR="00C606C2">
        <w:t xml:space="preserve">of which </w:t>
      </w:r>
      <w:r w:rsidR="003E1361">
        <w:t xml:space="preserve">will have been filtered through external audit. </w:t>
      </w:r>
      <w:r w:rsidR="00613073">
        <w:t xml:space="preserve">This provides a strong rationale for allowing EBITDA to be adjusted </w:t>
      </w:r>
      <w:r w:rsidR="00C606C2">
        <w:t xml:space="preserve">for these items </w:t>
      </w:r>
      <w:r w:rsidR="00613073">
        <w:t>while providing HEIs with greater scope to identify what items distort reporting of performance, such as profits on asset disposals, staff restructuring costs</w:t>
      </w:r>
      <w:r w:rsidR="00C606C2">
        <w:t xml:space="preserve"> or</w:t>
      </w:r>
      <w:r w:rsidR="00613073">
        <w:t xml:space="preserve"> </w:t>
      </w:r>
      <w:r w:rsidR="00C606C2">
        <w:t>major donations for example.</w:t>
      </w:r>
      <w:r w:rsidR="00613073">
        <w:t xml:space="preserve"> </w:t>
      </w:r>
      <w:r w:rsidR="003E1361">
        <w:t xml:space="preserve">   </w:t>
      </w:r>
    </w:p>
    <w:p w14:paraId="2AB372C7" w14:textId="77777777" w:rsidR="006C0756" w:rsidRPr="006C0756" w:rsidRDefault="006C0756"/>
    <w:p w14:paraId="4146FD42" w14:textId="77777777" w:rsidR="00BE40E2" w:rsidRDefault="00BE40E2">
      <w:pPr>
        <w:rPr>
          <w:i/>
        </w:rPr>
      </w:pPr>
    </w:p>
    <w:p w14:paraId="5B6E92F5" w14:textId="77777777" w:rsidR="00613073" w:rsidRDefault="00613073">
      <w:pPr>
        <w:rPr>
          <w:i/>
        </w:rPr>
      </w:pPr>
    </w:p>
    <w:p w14:paraId="3C08B3DF" w14:textId="77777777" w:rsidR="00AB4E59" w:rsidRPr="00AB4E59" w:rsidRDefault="00AB4E59">
      <w:pPr>
        <w:rPr>
          <w:b/>
        </w:rPr>
      </w:pPr>
      <w:r w:rsidRPr="00AB4E59">
        <w:rPr>
          <w:b/>
        </w:rPr>
        <w:t>BUFDG FRG</w:t>
      </w:r>
    </w:p>
    <w:p w14:paraId="34E936F2" w14:textId="6CD57F37" w:rsidR="00AB4E59" w:rsidRPr="00AB4E59" w:rsidRDefault="00D47F47">
      <w:pPr>
        <w:rPr>
          <w:b/>
        </w:rPr>
      </w:pPr>
      <w:r>
        <w:rPr>
          <w:b/>
        </w:rPr>
        <w:t>October</w:t>
      </w:r>
      <w:r w:rsidR="00AB4E59" w:rsidRPr="00AB4E59">
        <w:rPr>
          <w:b/>
        </w:rPr>
        <w:t xml:space="preserve"> 2017</w:t>
      </w:r>
    </w:p>
    <w:p w14:paraId="71EDBFF2" w14:textId="77777777" w:rsidR="00AB4E59" w:rsidRDefault="00AB4E59"/>
    <w:p w14:paraId="48E9A58B" w14:textId="77777777" w:rsidR="00480903" w:rsidRDefault="00480903">
      <w:pPr>
        <w:rPr>
          <w:b/>
          <w:color w:val="365F91" w:themeColor="accent1" w:themeShade="BF"/>
        </w:rPr>
      </w:pPr>
      <w:r>
        <w:rPr>
          <w:b/>
          <w:color w:val="365F91" w:themeColor="accent1" w:themeShade="BF"/>
        </w:rPr>
        <w:br w:type="page"/>
      </w:r>
    </w:p>
    <w:p w14:paraId="46809E70" w14:textId="124B0196" w:rsidR="00D911CD" w:rsidRPr="00AB4E59" w:rsidRDefault="001A266C">
      <w:pPr>
        <w:rPr>
          <w:color w:val="365F91" w:themeColor="accent1" w:themeShade="BF"/>
        </w:rPr>
      </w:pPr>
      <w:r>
        <w:rPr>
          <w:b/>
          <w:color w:val="365F91" w:themeColor="accent1" w:themeShade="BF"/>
        </w:rPr>
        <w:lastRenderedPageBreak/>
        <w:t>EBITDA</w:t>
      </w:r>
      <w:r w:rsidR="00D911CD" w:rsidRPr="00D911CD">
        <w:rPr>
          <w:b/>
          <w:color w:val="365F91" w:themeColor="accent1" w:themeShade="BF"/>
        </w:rPr>
        <w:t xml:space="preserve"> </w:t>
      </w:r>
      <w:r w:rsidR="00AB4E59">
        <w:rPr>
          <w:b/>
          <w:color w:val="365F91" w:themeColor="accent1" w:themeShade="BF"/>
        </w:rPr>
        <w:t xml:space="preserve">for HE </w:t>
      </w:r>
      <w:r w:rsidR="00D911CD" w:rsidRPr="00D911CD">
        <w:rPr>
          <w:b/>
          <w:color w:val="365F91" w:themeColor="accent1" w:themeShade="BF"/>
        </w:rPr>
        <w:t>Definition</w:t>
      </w:r>
      <w:r w:rsidR="002E227B">
        <w:rPr>
          <w:b/>
          <w:color w:val="365F91" w:themeColor="accent1" w:themeShade="BF"/>
        </w:rPr>
        <w:t xml:space="preserve"> </w:t>
      </w:r>
      <w:r w:rsidR="00A64A84" w:rsidRPr="00AB4E59">
        <w:rPr>
          <w:color w:val="365F91" w:themeColor="accent1" w:themeShade="BF"/>
        </w:rPr>
        <w:t xml:space="preserve">(revised </w:t>
      </w:r>
      <w:r w:rsidR="000C47A8">
        <w:rPr>
          <w:color w:val="365F91" w:themeColor="accent1" w:themeShade="BF"/>
        </w:rPr>
        <w:t>Oct</w:t>
      </w:r>
      <w:bookmarkStart w:id="0" w:name="_GoBack"/>
      <w:bookmarkEnd w:id="0"/>
      <w:r w:rsidR="000C47A8">
        <w:rPr>
          <w:color w:val="365F91" w:themeColor="accent1" w:themeShade="BF"/>
        </w:rPr>
        <w:t>ober</w:t>
      </w:r>
      <w:r w:rsidR="007E177D" w:rsidRPr="00AB4E59">
        <w:rPr>
          <w:color w:val="365F91" w:themeColor="accent1" w:themeShade="BF"/>
        </w:rPr>
        <w:t xml:space="preserve"> 2017</w:t>
      </w:r>
      <w:r w:rsidR="00A64A84" w:rsidRPr="00AB4E59">
        <w:rPr>
          <w:color w:val="365F91" w:themeColor="accent1" w:themeShade="BF"/>
        </w:rPr>
        <w:t>)</w:t>
      </w:r>
    </w:p>
    <w:p w14:paraId="4F4AF977" w14:textId="77777777" w:rsidR="00AB4E59" w:rsidRDefault="00AB4E59"/>
    <w:tbl>
      <w:tblPr>
        <w:tblStyle w:val="TableGrid"/>
        <w:tblW w:w="9747" w:type="dxa"/>
        <w:tblLook w:val="04A0" w:firstRow="1" w:lastRow="0" w:firstColumn="1" w:lastColumn="0" w:noHBand="0" w:noVBand="1"/>
      </w:tblPr>
      <w:tblGrid>
        <w:gridCol w:w="547"/>
        <w:gridCol w:w="3626"/>
        <w:gridCol w:w="5574"/>
      </w:tblGrid>
      <w:tr w:rsidR="00D911CD" w14:paraId="1A8D75CB" w14:textId="77777777" w:rsidTr="00283D1D">
        <w:tc>
          <w:tcPr>
            <w:tcW w:w="547" w:type="dxa"/>
          </w:tcPr>
          <w:p w14:paraId="0A512EB7" w14:textId="77777777" w:rsidR="00D911CD" w:rsidRDefault="00D911CD"/>
        </w:tc>
        <w:tc>
          <w:tcPr>
            <w:tcW w:w="3626" w:type="dxa"/>
          </w:tcPr>
          <w:p w14:paraId="6779C5D8" w14:textId="77777777" w:rsidR="00D911CD" w:rsidRPr="0006407E" w:rsidRDefault="00D911CD" w:rsidP="004B17AF">
            <w:pPr>
              <w:rPr>
                <w:b/>
              </w:rPr>
            </w:pPr>
            <w:r w:rsidRPr="0006407E">
              <w:rPr>
                <w:b/>
              </w:rPr>
              <w:t>Surplus for the Year</w:t>
            </w:r>
            <w:r w:rsidR="003E6216">
              <w:rPr>
                <w:b/>
              </w:rPr>
              <w:t xml:space="preserve"> </w:t>
            </w:r>
            <w:r w:rsidR="00484CC9">
              <w:rPr>
                <w:b/>
              </w:rPr>
              <w:t>before other gains and losses and share of surpluses from joint ventures and associates</w:t>
            </w:r>
          </w:p>
        </w:tc>
        <w:tc>
          <w:tcPr>
            <w:tcW w:w="5574" w:type="dxa"/>
          </w:tcPr>
          <w:p w14:paraId="45A7E57B" w14:textId="77777777" w:rsidR="003E6216" w:rsidRDefault="00A64A84" w:rsidP="00C6469A">
            <w:r>
              <w:t xml:space="preserve">Taken from the face of the </w:t>
            </w:r>
            <w:r w:rsidR="004B17AF">
              <w:t>S</w:t>
            </w:r>
            <w:r w:rsidR="00613073">
              <w:t>O</w:t>
            </w:r>
            <w:r w:rsidR="004B17AF">
              <w:t>CI</w:t>
            </w:r>
            <w:r w:rsidR="00952D8B">
              <w:t xml:space="preserve">. This surplus is </w:t>
            </w:r>
            <w:r w:rsidR="00952D8B" w:rsidRPr="00952D8B">
              <w:rPr>
                <w:u w:val="single"/>
              </w:rPr>
              <w:t>before</w:t>
            </w:r>
            <w:r w:rsidR="00952D8B">
              <w:t xml:space="preserve"> profits/losses on disposal of fixed assets, loss/gain on investments, surplus/deficits in JVs and associates and before taxation.</w:t>
            </w:r>
          </w:p>
          <w:p w14:paraId="551B7CBE" w14:textId="77777777" w:rsidR="00D911CD" w:rsidRPr="00F57804" w:rsidRDefault="00D911CD" w:rsidP="002E227B">
            <w:pPr>
              <w:rPr>
                <w:i/>
              </w:rPr>
            </w:pPr>
          </w:p>
        </w:tc>
      </w:tr>
      <w:tr w:rsidR="00484CC9" w14:paraId="1D4B1B30" w14:textId="77777777" w:rsidTr="00283D1D">
        <w:tc>
          <w:tcPr>
            <w:tcW w:w="547" w:type="dxa"/>
          </w:tcPr>
          <w:p w14:paraId="3FECAE62" w14:textId="77777777" w:rsidR="00484CC9" w:rsidRDefault="00484CC9">
            <w:r>
              <w:t>+</w:t>
            </w:r>
          </w:p>
        </w:tc>
        <w:tc>
          <w:tcPr>
            <w:tcW w:w="3626" w:type="dxa"/>
          </w:tcPr>
          <w:p w14:paraId="75EAC3EF" w14:textId="77777777" w:rsidR="00484CC9" w:rsidRDefault="00484CC9" w:rsidP="000F1864">
            <w:r>
              <w:t>Share of profits from joint ventures and associates</w:t>
            </w:r>
          </w:p>
        </w:tc>
        <w:tc>
          <w:tcPr>
            <w:tcW w:w="5574" w:type="dxa"/>
          </w:tcPr>
          <w:p w14:paraId="4A6B9BF6" w14:textId="77777777" w:rsidR="00484CC9" w:rsidRDefault="00484CC9" w:rsidP="00BE2DD7"/>
        </w:tc>
      </w:tr>
      <w:tr w:rsidR="00D911CD" w14:paraId="531F4249" w14:textId="77777777" w:rsidTr="00283D1D">
        <w:tc>
          <w:tcPr>
            <w:tcW w:w="547" w:type="dxa"/>
          </w:tcPr>
          <w:p w14:paraId="655ECCB6" w14:textId="77777777" w:rsidR="00D911CD" w:rsidRDefault="00D911CD">
            <w:r>
              <w:t>+</w:t>
            </w:r>
          </w:p>
        </w:tc>
        <w:tc>
          <w:tcPr>
            <w:tcW w:w="3626" w:type="dxa"/>
          </w:tcPr>
          <w:p w14:paraId="00E05EE1" w14:textId="77777777" w:rsidR="00D911CD" w:rsidRDefault="0060522D" w:rsidP="0060522D">
            <w:r>
              <w:t>Finance charges</w:t>
            </w:r>
          </w:p>
        </w:tc>
        <w:tc>
          <w:tcPr>
            <w:tcW w:w="5574" w:type="dxa"/>
          </w:tcPr>
          <w:p w14:paraId="3AA47B69" w14:textId="377C0821" w:rsidR="00D911CD" w:rsidRPr="00480903" w:rsidRDefault="00D911CD" w:rsidP="00CC2E86">
            <w:pPr>
              <w:rPr>
                <w:color w:val="002060"/>
              </w:rPr>
            </w:pPr>
            <w:r w:rsidRPr="00480903">
              <w:rPr>
                <w:color w:val="002060"/>
              </w:rPr>
              <w:t xml:space="preserve">Interest payable </w:t>
            </w:r>
            <w:r w:rsidR="007E177D" w:rsidRPr="00480903">
              <w:rPr>
                <w:color w:val="002060"/>
              </w:rPr>
              <w:t xml:space="preserve">on debt, finance leases and service concessions, pension deficits </w:t>
            </w:r>
            <w:r w:rsidR="0060522D" w:rsidRPr="00480903">
              <w:rPr>
                <w:color w:val="002060"/>
              </w:rPr>
              <w:t xml:space="preserve">and the unwinding of discount rates </w:t>
            </w:r>
            <w:r w:rsidR="00AF610C" w:rsidRPr="00480903">
              <w:rPr>
                <w:color w:val="002060"/>
              </w:rPr>
              <w:t xml:space="preserve">with respect to the valuation of provisions </w:t>
            </w:r>
            <w:r w:rsidR="0060522D" w:rsidRPr="00480903">
              <w:rPr>
                <w:color w:val="002060"/>
              </w:rPr>
              <w:t>(</w:t>
            </w:r>
            <w:r w:rsidR="00693E66" w:rsidRPr="00480903">
              <w:rPr>
                <w:color w:val="002060"/>
              </w:rPr>
              <w:t>e.g.</w:t>
            </w:r>
            <w:r w:rsidR="0060522D" w:rsidRPr="00480903">
              <w:rPr>
                <w:color w:val="002060"/>
              </w:rPr>
              <w:t xml:space="preserve"> </w:t>
            </w:r>
            <w:r w:rsidR="0060522D" w:rsidRPr="00EF2FE2">
              <w:rPr>
                <w:color w:val="002060"/>
              </w:rPr>
              <w:t>provisions for multi-employer pension schemes)</w:t>
            </w:r>
            <w:r w:rsidR="00CC2E86" w:rsidRPr="00EF2FE2">
              <w:rPr>
                <w:color w:val="002060"/>
              </w:rPr>
              <w:t xml:space="preserve">. Pension-related finance </w:t>
            </w:r>
            <w:r w:rsidR="00CC2E86" w:rsidRPr="00EF2FE2">
              <w:rPr>
                <w:i/>
                <w:color w:val="002060"/>
              </w:rPr>
              <w:t>credits</w:t>
            </w:r>
            <w:r w:rsidR="00CC2E86" w:rsidRPr="00EF2FE2">
              <w:rPr>
                <w:color w:val="002060"/>
              </w:rPr>
              <w:t xml:space="preserve"> should also be adjusted for.</w:t>
            </w:r>
            <w:r w:rsidR="0060522D" w:rsidRPr="00480903">
              <w:rPr>
                <w:color w:val="002060"/>
              </w:rPr>
              <w:t xml:space="preserve"> </w:t>
            </w:r>
          </w:p>
        </w:tc>
      </w:tr>
      <w:tr w:rsidR="00D911CD" w14:paraId="592069E9" w14:textId="77777777" w:rsidTr="00283D1D">
        <w:tc>
          <w:tcPr>
            <w:tcW w:w="547" w:type="dxa"/>
          </w:tcPr>
          <w:p w14:paraId="713ED956" w14:textId="77777777" w:rsidR="00D911CD" w:rsidRPr="00480903" w:rsidRDefault="00A800DA">
            <w:pPr>
              <w:rPr>
                <w:color w:val="002060"/>
              </w:rPr>
            </w:pPr>
            <w:r w:rsidRPr="00480903">
              <w:rPr>
                <w:color w:val="002060"/>
              </w:rPr>
              <w:t>+</w:t>
            </w:r>
          </w:p>
        </w:tc>
        <w:tc>
          <w:tcPr>
            <w:tcW w:w="3626" w:type="dxa"/>
          </w:tcPr>
          <w:p w14:paraId="1324AAE3" w14:textId="77777777" w:rsidR="00D911CD" w:rsidRPr="00480903" w:rsidRDefault="00A800DA" w:rsidP="000F1864">
            <w:pPr>
              <w:rPr>
                <w:color w:val="002060"/>
              </w:rPr>
            </w:pPr>
            <w:r w:rsidRPr="00480903">
              <w:rPr>
                <w:color w:val="002060"/>
              </w:rPr>
              <w:t>Depreciation</w:t>
            </w:r>
          </w:p>
        </w:tc>
        <w:tc>
          <w:tcPr>
            <w:tcW w:w="5574" w:type="dxa"/>
          </w:tcPr>
          <w:p w14:paraId="00BC76A6" w14:textId="77777777" w:rsidR="00D911CD" w:rsidRPr="00480903" w:rsidRDefault="00480903" w:rsidP="00480903">
            <w:pPr>
              <w:rPr>
                <w:color w:val="002060"/>
              </w:rPr>
            </w:pPr>
            <w:r>
              <w:rPr>
                <w:color w:val="002060"/>
              </w:rPr>
              <w:t>G</w:t>
            </w:r>
            <w:r w:rsidR="00856322" w:rsidRPr="00480903">
              <w:rPr>
                <w:color w:val="002060"/>
              </w:rPr>
              <w:t>ross depreciation includ</w:t>
            </w:r>
            <w:r>
              <w:rPr>
                <w:color w:val="002060"/>
              </w:rPr>
              <w:t>ing any</w:t>
            </w:r>
            <w:r w:rsidR="00283D1D" w:rsidRPr="00480903">
              <w:rPr>
                <w:color w:val="002060"/>
              </w:rPr>
              <w:t xml:space="preserve"> </w:t>
            </w:r>
            <w:r w:rsidR="008156E9" w:rsidRPr="00480903">
              <w:rPr>
                <w:color w:val="002060"/>
              </w:rPr>
              <w:t>impairment charges</w:t>
            </w:r>
            <w:r w:rsidR="00856322" w:rsidRPr="00480903">
              <w:rPr>
                <w:color w:val="002060"/>
              </w:rPr>
              <w:t>.</w:t>
            </w:r>
          </w:p>
        </w:tc>
      </w:tr>
      <w:tr w:rsidR="00283D1D" w14:paraId="7EB59E81" w14:textId="77777777" w:rsidTr="00283D1D">
        <w:tc>
          <w:tcPr>
            <w:tcW w:w="547" w:type="dxa"/>
          </w:tcPr>
          <w:p w14:paraId="4B8C04E8" w14:textId="77777777" w:rsidR="00283D1D" w:rsidRPr="00480903" w:rsidRDefault="00283D1D">
            <w:pPr>
              <w:rPr>
                <w:color w:val="002060"/>
              </w:rPr>
            </w:pPr>
            <w:r w:rsidRPr="00480903">
              <w:rPr>
                <w:color w:val="002060"/>
              </w:rPr>
              <w:t>-</w:t>
            </w:r>
          </w:p>
        </w:tc>
        <w:tc>
          <w:tcPr>
            <w:tcW w:w="3626" w:type="dxa"/>
          </w:tcPr>
          <w:p w14:paraId="55A527D9" w14:textId="77777777" w:rsidR="00283D1D" w:rsidRPr="00480903" w:rsidRDefault="00283D1D" w:rsidP="00B83555">
            <w:pPr>
              <w:rPr>
                <w:color w:val="002060"/>
              </w:rPr>
            </w:pPr>
            <w:r w:rsidRPr="00480903">
              <w:rPr>
                <w:color w:val="002060"/>
              </w:rPr>
              <w:t>Capital grants received</w:t>
            </w:r>
          </w:p>
        </w:tc>
        <w:tc>
          <w:tcPr>
            <w:tcW w:w="5574" w:type="dxa"/>
          </w:tcPr>
          <w:p w14:paraId="3BF69B6E" w14:textId="77777777" w:rsidR="00283D1D" w:rsidRPr="00480903" w:rsidRDefault="00283D1D" w:rsidP="00283D1D">
            <w:pPr>
              <w:rPr>
                <w:color w:val="002060"/>
              </w:rPr>
            </w:pPr>
            <w:r w:rsidRPr="00480903">
              <w:rPr>
                <w:color w:val="002060"/>
              </w:rPr>
              <w:t>For non-government capital grants and for government capital grants where the performance model is adopted.</w:t>
            </w:r>
          </w:p>
        </w:tc>
      </w:tr>
      <w:tr w:rsidR="00283D1D" w14:paraId="0FD47DDA" w14:textId="77777777" w:rsidTr="00283D1D">
        <w:tc>
          <w:tcPr>
            <w:tcW w:w="547" w:type="dxa"/>
          </w:tcPr>
          <w:p w14:paraId="188EA903" w14:textId="77777777" w:rsidR="00283D1D" w:rsidRPr="00480903" w:rsidRDefault="00283D1D" w:rsidP="00522C4D">
            <w:pPr>
              <w:rPr>
                <w:color w:val="002060"/>
              </w:rPr>
            </w:pPr>
            <w:r w:rsidRPr="00480903">
              <w:rPr>
                <w:color w:val="002060"/>
              </w:rPr>
              <w:t>-</w:t>
            </w:r>
          </w:p>
        </w:tc>
        <w:tc>
          <w:tcPr>
            <w:tcW w:w="3626" w:type="dxa"/>
          </w:tcPr>
          <w:p w14:paraId="33F68C2B" w14:textId="77777777" w:rsidR="00283D1D" w:rsidRPr="00480903" w:rsidRDefault="00283D1D" w:rsidP="00522C4D">
            <w:pPr>
              <w:rPr>
                <w:color w:val="002060"/>
              </w:rPr>
            </w:pPr>
            <w:r w:rsidRPr="00480903">
              <w:rPr>
                <w:color w:val="002060"/>
              </w:rPr>
              <w:t xml:space="preserve">Release of deferred capital grants </w:t>
            </w:r>
          </w:p>
        </w:tc>
        <w:tc>
          <w:tcPr>
            <w:tcW w:w="5574" w:type="dxa"/>
          </w:tcPr>
          <w:p w14:paraId="146C0A51" w14:textId="77777777" w:rsidR="00283D1D" w:rsidRPr="00480903" w:rsidRDefault="00283D1D" w:rsidP="00522C4D">
            <w:pPr>
              <w:rPr>
                <w:color w:val="002060"/>
              </w:rPr>
            </w:pPr>
            <w:r w:rsidRPr="00480903">
              <w:rPr>
                <w:color w:val="002060"/>
              </w:rPr>
              <w:t xml:space="preserve">The release in line with depreciation, where the accrual model is adopted for government capital grants. </w:t>
            </w:r>
          </w:p>
        </w:tc>
      </w:tr>
      <w:tr w:rsidR="00283D1D" w14:paraId="77477AA3" w14:textId="77777777" w:rsidTr="00283D1D">
        <w:tc>
          <w:tcPr>
            <w:tcW w:w="547" w:type="dxa"/>
          </w:tcPr>
          <w:p w14:paraId="65ECBF0D" w14:textId="77777777" w:rsidR="00283D1D" w:rsidRPr="00480903" w:rsidRDefault="00283D1D">
            <w:pPr>
              <w:rPr>
                <w:color w:val="002060"/>
              </w:rPr>
            </w:pPr>
            <w:r w:rsidRPr="00480903">
              <w:rPr>
                <w:color w:val="002060"/>
              </w:rPr>
              <w:t>+</w:t>
            </w:r>
          </w:p>
        </w:tc>
        <w:tc>
          <w:tcPr>
            <w:tcW w:w="3626" w:type="dxa"/>
          </w:tcPr>
          <w:p w14:paraId="466A5207" w14:textId="77777777" w:rsidR="00283D1D" w:rsidRPr="00480903" w:rsidRDefault="00283D1D" w:rsidP="000F1864">
            <w:pPr>
              <w:rPr>
                <w:color w:val="002060"/>
              </w:rPr>
            </w:pPr>
            <w:r w:rsidRPr="00480903">
              <w:rPr>
                <w:color w:val="002060"/>
              </w:rPr>
              <w:t>Amortisation</w:t>
            </w:r>
          </w:p>
        </w:tc>
        <w:tc>
          <w:tcPr>
            <w:tcW w:w="5574" w:type="dxa"/>
          </w:tcPr>
          <w:p w14:paraId="77D9BD7E" w14:textId="77777777" w:rsidR="00283D1D" w:rsidRPr="00480903" w:rsidRDefault="00283D1D">
            <w:pPr>
              <w:rPr>
                <w:color w:val="002060"/>
              </w:rPr>
            </w:pPr>
            <w:r w:rsidRPr="00480903">
              <w:rPr>
                <w:color w:val="002060"/>
              </w:rPr>
              <w:t>Including release of goodwill/(negative goodwill)</w:t>
            </w:r>
          </w:p>
        </w:tc>
      </w:tr>
      <w:tr w:rsidR="00283D1D" w14:paraId="5DFB1322" w14:textId="77777777" w:rsidTr="00283D1D">
        <w:tc>
          <w:tcPr>
            <w:tcW w:w="547" w:type="dxa"/>
          </w:tcPr>
          <w:p w14:paraId="0C38C6C3" w14:textId="77777777" w:rsidR="00283D1D" w:rsidRPr="00480903" w:rsidRDefault="00283D1D">
            <w:pPr>
              <w:rPr>
                <w:color w:val="002060"/>
              </w:rPr>
            </w:pPr>
            <w:r w:rsidRPr="00480903">
              <w:rPr>
                <w:color w:val="002060"/>
              </w:rPr>
              <w:t>-</w:t>
            </w:r>
          </w:p>
        </w:tc>
        <w:tc>
          <w:tcPr>
            <w:tcW w:w="3626" w:type="dxa"/>
          </w:tcPr>
          <w:p w14:paraId="792DF0F1" w14:textId="77777777" w:rsidR="00283D1D" w:rsidRPr="00480903" w:rsidRDefault="00283D1D" w:rsidP="00480903">
            <w:pPr>
              <w:rPr>
                <w:color w:val="002060"/>
              </w:rPr>
            </w:pPr>
            <w:r w:rsidRPr="00480903">
              <w:rPr>
                <w:color w:val="002060"/>
              </w:rPr>
              <w:t xml:space="preserve">New </w:t>
            </w:r>
            <w:r w:rsidR="00480903" w:rsidRPr="00480903">
              <w:rPr>
                <w:color w:val="002060"/>
              </w:rPr>
              <w:t>permanent</w:t>
            </w:r>
            <w:r w:rsidRPr="00480903">
              <w:rPr>
                <w:color w:val="002060"/>
              </w:rPr>
              <w:t xml:space="preserve"> endowments</w:t>
            </w:r>
          </w:p>
        </w:tc>
        <w:tc>
          <w:tcPr>
            <w:tcW w:w="5574" w:type="dxa"/>
          </w:tcPr>
          <w:p w14:paraId="7281400A" w14:textId="77777777" w:rsidR="00283D1D" w:rsidRDefault="00480903" w:rsidP="00480903">
            <w:pPr>
              <w:rPr>
                <w:color w:val="002060"/>
              </w:rPr>
            </w:pPr>
            <w:r w:rsidRPr="00480903">
              <w:rPr>
                <w:color w:val="002060"/>
              </w:rPr>
              <w:t xml:space="preserve">Permanent endowments are capital transactions where the </w:t>
            </w:r>
            <w:r w:rsidR="00C606C2">
              <w:rPr>
                <w:color w:val="002060"/>
              </w:rPr>
              <w:t xml:space="preserve">original </w:t>
            </w:r>
            <w:r w:rsidRPr="00480903">
              <w:rPr>
                <w:color w:val="002060"/>
              </w:rPr>
              <w:t>capital is preserved. They should be excluded from EBITDA.</w:t>
            </w:r>
          </w:p>
          <w:p w14:paraId="6382AE73" w14:textId="77777777" w:rsidR="00480903" w:rsidRDefault="00480903" w:rsidP="00480903">
            <w:pPr>
              <w:rPr>
                <w:color w:val="002060"/>
              </w:rPr>
            </w:pPr>
          </w:p>
          <w:p w14:paraId="276B647F" w14:textId="12EDF334" w:rsidR="00480903" w:rsidRPr="00480903" w:rsidRDefault="00480903" w:rsidP="00C606C2">
            <w:pPr>
              <w:rPr>
                <w:color w:val="002060"/>
              </w:rPr>
            </w:pPr>
            <w:r>
              <w:rPr>
                <w:color w:val="002060"/>
              </w:rPr>
              <w:t>Donations and expendable endowments are included within EBITDA</w:t>
            </w:r>
            <w:r w:rsidR="00C606C2">
              <w:rPr>
                <w:color w:val="002060"/>
              </w:rPr>
              <w:t xml:space="preserve"> and not adjusted for. D</w:t>
            </w:r>
            <w:r>
              <w:rPr>
                <w:color w:val="002060"/>
              </w:rPr>
              <w:t>onations can contain a recurrent element (</w:t>
            </w:r>
            <w:r w:rsidR="00693E66">
              <w:rPr>
                <w:color w:val="002060"/>
              </w:rPr>
              <w:t>e.g.</w:t>
            </w:r>
            <w:r w:rsidR="00C606C2">
              <w:rPr>
                <w:color w:val="002060"/>
              </w:rPr>
              <w:t xml:space="preserve"> </w:t>
            </w:r>
            <w:r>
              <w:rPr>
                <w:color w:val="002060"/>
              </w:rPr>
              <w:t xml:space="preserve">annual </w:t>
            </w:r>
            <w:r w:rsidR="00C606C2">
              <w:rPr>
                <w:color w:val="002060"/>
              </w:rPr>
              <w:t>campaigns</w:t>
            </w:r>
            <w:r>
              <w:rPr>
                <w:color w:val="002060"/>
              </w:rPr>
              <w:t>) and the expenditure of both donations and expendable endowments are charge</w:t>
            </w:r>
            <w:r w:rsidR="00C606C2">
              <w:rPr>
                <w:color w:val="002060"/>
              </w:rPr>
              <w:t>d</w:t>
            </w:r>
            <w:r>
              <w:rPr>
                <w:color w:val="002060"/>
              </w:rPr>
              <w:t xml:space="preserve"> against EBITDA, even if there is a timing mis-match. However, material </w:t>
            </w:r>
            <w:r w:rsidR="00C606C2">
              <w:rPr>
                <w:color w:val="002060"/>
              </w:rPr>
              <w:t xml:space="preserve">new </w:t>
            </w:r>
            <w:r>
              <w:rPr>
                <w:color w:val="002060"/>
              </w:rPr>
              <w:t>endowments/donations might be considered exceptional items (see below)</w:t>
            </w:r>
            <w:r w:rsidR="00C606C2">
              <w:rPr>
                <w:color w:val="002060"/>
              </w:rPr>
              <w:t>.</w:t>
            </w:r>
            <w:r>
              <w:rPr>
                <w:color w:val="002060"/>
              </w:rPr>
              <w:t xml:space="preserve"> </w:t>
            </w:r>
          </w:p>
        </w:tc>
      </w:tr>
      <w:tr w:rsidR="00283D1D" w14:paraId="0F3BC34B" w14:textId="77777777" w:rsidTr="00283D1D">
        <w:tc>
          <w:tcPr>
            <w:tcW w:w="547" w:type="dxa"/>
          </w:tcPr>
          <w:p w14:paraId="0419E5A2" w14:textId="77777777" w:rsidR="00283D1D" w:rsidRPr="00480903" w:rsidRDefault="00283D1D">
            <w:pPr>
              <w:rPr>
                <w:color w:val="002060"/>
              </w:rPr>
            </w:pPr>
            <w:r w:rsidRPr="00480903">
              <w:rPr>
                <w:color w:val="002060"/>
              </w:rPr>
              <w:t>+</w:t>
            </w:r>
          </w:p>
        </w:tc>
        <w:tc>
          <w:tcPr>
            <w:tcW w:w="3626" w:type="dxa"/>
          </w:tcPr>
          <w:p w14:paraId="708B2900" w14:textId="77777777" w:rsidR="00283D1D" w:rsidRPr="00480903" w:rsidRDefault="00283D1D" w:rsidP="00B83555">
            <w:pPr>
              <w:rPr>
                <w:color w:val="002060"/>
              </w:rPr>
            </w:pPr>
            <w:r w:rsidRPr="00480903">
              <w:rPr>
                <w:color w:val="002060"/>
              </w:rPr>
              <w:t>Staff charges / (credits) arising from pension provisions</w:t>
            </w:r>
          </w:p>
        </w:tc>
        <w:tc>
          <w:tcPr>
            <w:tcW w:w="5574" w:type="dxa"/>
          </w:tcPr>
          <w:p w14:paraId="25B0EB33" w14:textId="77777777" w:rsidR="00283D1D" w:rsidRPr="00480903" w:rsidRDefault="00283D1D" w:rsidP="0060522D">
            <w:pPr>
              <w:rPr>
                <w:color w:val="002060"/>
              </w:rPr>
            </w:pPr>
            <w:r w:rsidRPr="00480903">
              <w:rPr>
                <w:color w:val="002060"/>
              </w:rPr>
              <w:t>Relevant movements in balance sheet provisions for (a) SAT defined benefit schemes and (b) deficit recovery provisions on multi-employer schemes.</w:t>
            </w:r>
          </w:p>
        </w:tc>
      </w:tr>
      <w:tr w:rsidR="00283D1D" w14:paraId="4E602D08" w14:textId="77777777" w:rsidTr="00283D1D">
        <w:tc>
          <w:tcPr>
            <w:tcW w:w="547" w:type="dxa"/>
          </w:tcPr>
          <w:p w14:paraId="02BFDDD4" w14:textId="77777777" w:rsidR="00283D1D" w:rsidRPr="00480903" w:rsidRDefault="00283D1D" w:rsidP="00AB4E59">
            <w:pPr>
              <w:rPr>
                <w:color w:val="002060"/>
              </w:rPr>
            </w:pPr>
            <w:r w:rsidRPr="00480903">
              <w:rPr>
                <w:color w:val="002060"/>
              </w:rPr>
              <w:t>+</w:t>
            </w:r>
          </w:p>
        </w:tc>
        <w:tc>
          <w:tcPr>
            <w:tcW w:w="3626" w:type="dxa"/>
          </w:tcPr>
          <w:p w14:paraId="15ADCFBB" w14:textId="77777777" w:rsidR="00283D1D" w:rsidRPr="00480903" w:rsidRDefault="00283D1D" w:rsidP="00FC6877">
            <w:pPr>
              <w:rPr>
                <w:color w:val="002060"/>
              </w:rPr>
            </w:pPr>
            <w:r w:rsidRPr="00480903">
              <w:rPr>
                <w:color w:val="002060"/>
              </w:rPr>
              <w:t>Fair value changes to financial instruments</w:t>
            </w:r>
          </w:p>
        </w:tc>
        <w:tc>
          <w:tcPr>
            <w:tcW w:w="5574" w:type="dxa"/>
          </w:tcPr>
          <w:p w14:paraId="4806F7E0" w14:textId="73080904" w:rsidR="00283D1D" w:rsidRPr="00480903" w:rsidRDefault="00283D1D" w:rsidP="0060522D">
            <w:pPr>
              <w:rPr>
                <w:color w:val="002060"/>
              </w:rPr>
            </w:pPr>
            <w:r w:rsidRPr="00480903">
              <w:rPr>
                <w:color w:val="002060"/>
              </w:rPr>
              <w:t xml:space="preserve">Fair value changes to financial instruments represent non-cash changes to the valuation </w:t>
            </w:r>
            <w:r w:rsidR="00693E66" w:rsidRPr="00480903">
              <w:rPr>
                <w:color w:val="002060"/>
              </w:rPr>
              <w:t>of these</w:t>
            </w:r>
            <w:r w:rsidR="00AB4E59" w:rsidRPr="00480903">
              <w:rPr>
                <w:color w:val="002060"/>
              </w:rPr>
              <w:t xml:space="preserve"> </w:t>
            </w:r>
            <w:r w:rsidRPr="00480903">
              <w:rPr>
                <w:color w:val="002060"/>
              </w:rPr>
              <w:t xml:space="preserve">assets/liabilities. This adjustment would only apply to those who have not adopted </w:t>
            </w:r>
            <w:r w:rsidR="00AB4E59" w:rsidRPr="00480903">
              <w:rPr>
                <w:color w:val="002060"/>
              </w:rPr>
              <w:t xml:space="preserve">the </w:t>
            </w:r>
            <w:r w:rsidRPr="00480903">
              <w:rPr>
                <w:color w:val="002060"/>
              </w:rPr>
              <w:t>hedge accounting policy choice. Those that have adopted hedge accounting will not need to make this adjustment as changes to fair value are recognized in other comprehensive income rather than through the Surplus for the Year.</w:t>
            </w:r>
          </w:p>
        </w:tc>
      </w:tr>
      <w:tr w:rsidR="00283D1D" w14:paraId="31C0312E" w14:textId="77777777" w:rsidTr="00283D1D">
        <w:tc>
          <w:tcPr>
            <w:tcW w:w="547" w:type="dxa"/>
          </w:tcPr>
          <w:p w14:paraId="5AAC71E2" w14:textId="77777777" w:rsidR="00283D1D" w:rsidRPr="00480903" w:rsidRDefault="00283D1D" w:rsidP="00613073">
            <w:pPr>
              <w:rPr>
                <w:color w:val="002060"/>
              </w:rPr>
            </w:pPr>
            <w:r w:rsidRPr="00480903">
              <w:rPr>
                <w:color w:val="002060"/>
              </w:rPr>
              <w:t>+</w:t>
            </w:r>
          </w:p>
        </w:tc>
        <w:tc>
          <w:tcPr>
            <w:tcW w:w="3626" w:type="dxa"/>
          </w:tcPr>
          <w:p w14:paraId="2499CD1C" w14:textId="77777777" w:rsidR="00283D1D" w:rsidRPr="00480903" w:rsidRDefault="00283D1D" w:rsidP="00B83555">
            <w:pPr>
              <w:rPr>
                <w:color w:val="002060"/>
              </w:rPr>
            </w:pPr>
            <w:r w:rsidRPr="00480903">
              <w:rPr>
                <w:color w:val="002060"/>
              </w:rPr>
              <w:t>Exceptional items</w:t>
            </w:r>
          </w:p>
        </w:tc>
        <w:tc>
          <w:tcPr>
            <w:tcW w:w="5574" w:type="dxa"/>
          </w:tcPr>
          <w:p w14:paraId="3B5E7520" w14:textId="77777777" w:rsidR="00283D1D" w:rsidRPr="00480903" w:rsidRDefault="00480903" w:rsidP="00613073">
            <w:pPr>
              <w:rPr>
                <w:color w:val="002060"/>
              </w:rPr>
            </w:pPr>
            <w:r>
              <w:rPr>
                <w:color w:val="002060"/>
              </w:rPr>
              <w:t>A</w:t>
            </w:r>
            <w:r w:rsidR="00283D1D" w:rsidRPr="00480903">
              <w:rPr>
                <w:color w:val="002060"/>
              </w:rPr>
              <w:t>dditional line disclosures on the face of the SOCI</w:t>
            </w:r>
            <w:r>
              <w:rPr>
                <w:color w:val="002060"/>
              </w:rPr>
              <w:t xml:space="preserve">, and hence effectively </w:t>
            </w:r>
            <w:r w:rsidR="00613073">
              <w:rPr>
                <w:color w:val="002060"/>
              </w:rPr>
              <w:t>supported</w:t>
            </w:r>
            <w:r>
              <w:rPr>
                <w:color w:val="002060"/>
              </w:rPr>
              <w:t xml:space="preserve"> by the </w:t>
            </w:r>
            <w:r w:rsidRPr="00480903">
              <w:rPr>
                <w:i/>
                <w:color w:val="002060"/>
              </w:rPr>
              <w:t>true and fair</w:t>
            </w:r>
            <w:r>
              <w:rPr>
                <w:color w:val="002060"/>
              </w:rPr>
              <w:t xml:space="preserve"> external audit opinion</w:t>
            </w:r>
            <w:r w:rsidR="00283D1D" w:rsidRPr="00480903">
              <w:rPr>
                <w:color w:val="002060"/>
              </w:rPr>
              <w:t xml:space="preserve">.  </w:t>
            </w:r>
          </w:p>
        </w:tc>
      </w:tr>
      <w:tr w:rsidR="00283D1D" w14:paraId="73E5E49D" w14:textId="77777777" w:rsidTr="00283D1D">
        <w:tc>
          <w:tcPr>
            <w:tcW w:w="547" w:type="dxa"/>
          </w:tcPr>
          <w:p w14:paraId="352B8269" w14:textId="77777777" w:rsidR="00283D1D" w:rsidRPr="0006407E" w:rsidRDefault="00283D1D">
            <w:pPr>
              <w:rPr>
                <w:b/>
              </w:rPr>
            </w:pPr>
            <w:r w:rsidRPr="0006407E">
              <w:rPr>
                <w:b/>
              </w:rPr>
              <w:t>=</w:t>
            </w:r>
          </w:p>
        </w:tc>
        <w:tc>
          <w:tcPr>
            <w:tcW w:w="3626" w:type="dxa"/>
          </w:tcPr>
          <w:p w14:paraId="6136C1AC" w14:textId="77777777" w:rsidR="00283D1D" w:rsidRPr="0006407E" w:rsidRDefault="00283D1D" w:rsidP="00A64A84">
            <w:pPr>
              <w:rPr>
                <w:b/>
              </w:rPr>
            </w:pPr>
            <w:r w:rsidRPr="0006407E">
              <w:rPr>
                <w:b/>
              </w:rPr>
              <w:t>EBITDA</w:t>
            </w:r>
            <w:r w:rsidR="00164520">
              <w:rPr>
                <w:b/>
              </w:rPr>
              <w:t xml:space="preserve"> for HE</w:t>
            </w:r>
            <w:r>
              <w:rPr>
                <w:b/>
              </w:rPr>
              <w:t xml:space="preserve"> </w:t>
            </w:r>
          </w:p>
        </w:tc>
        <w:tc>
          <w:tcPr>
            <w:tcW w:w="5574" w:type="dxa"/>
          </w:tcPr>
          <w:p w14:paraId="0CB0C0EC" w14:textId="77777777" w:rsidR="00283D1D" w:rsidRDefault="00283D1D"/>
        </w:tc>
      </w:tr>
    </w:tbl>
    <w:p w14:paraId="558054CB" w14:textId="77777777" w:rsidR="000F1864" w:rsidRDefault="000F1864" w:rsidP="00613073">
      <w:pPr>
        <w:ind w:right="-853" w:hanging="142"/>
        <w:rPr>
          <w:i/>
          <w:sz w:val="22"/>
          <w:szCs w:val="22"/>
        </w:rPr>
      </w:pPr>
    </w:p>
    <w:sectPr w:rsidR="000F1864" w:rsidSect="00F35AF4">
      <w:pgSz w:w="11900" w:h="16840"/>
      <w:pgMar w:top="993" w:right="112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CA"/>
    <w:multiLevelType w:val="hybridMultilevel"/>
    <w:tmpl w:val="B350A678"/>
    <w:lvl w:ilvl="0" w:tplc="2620DFC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B480CEE"/>
    <w:multiLevelType w:val="hybridMultilevel"/>
    <w:tmpl w:val="5FE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75882"/>
    <w:multiLevelType w:val="hybridMultilevel"/>
    <w:tmpl w:val="553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A38D9"/>
    <w:multiLevelType w:val="hybridMultilevel"/>
    <w:tmpl w:val="557E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F74606"/>
    <w:multiLevelType w:val="hybridMultilevel"/>
    <w:tmpl w:val="25EAE1C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15032F5"/>
    <w:multiLevelType w:val="hybridMultilevel"/>
    <w:tmpl w:val="F55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C78A8"/>
    <w:multiLevelType w:val="hybridMultilevel"/>
    <w:tmpl w:val="2D4E64A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7" w15:restartNumberingAfterBreak="0">
    <w:nsid w:val="76F26E02"/>
    <w:multiLevelType w:val="hybridMultilevel"/>
    <w:tmpl w:val="416C3A6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52"/>
    <w:rsid w:val="000153D0"/>
    <w:rsid w:val="0004155F"/>
    <w:rsid w:val="0006407E"/>
    <w:rsid w:val="00082C42"/>
    <w:rsid w:val="000A2362"/>
    <w:rsid w:val="000C47A8"/>
    <w:rsid w:val="000F1864"/>
    <w:rsid w:val="00141383"/>
    <w:rsid w:val="0014297A"/>
    <w:rsid w:val="001566EB"/>
    <w:rsid w:val="00164520"/>
    <w:rsid w:val="00196AEB"/>
    <w:rsid w:val="001970AC"/>
    <w:rsid w:val="001A266C"/>
    <w:rsid w:val="001F6D19"/>
    <w:rsid w:val="002251F2"/>
    <w:rsid w:val="002433FA"/>
    <w:rsid w:val="00283D1D"/>
    <w:rsid w:val="00291920"/>
    <w:rsid w:val="002E227B"/>
    <w:rsid w:val="002E6AD0"/>
    <w:rsid w:val="00360605"/>
    <w:rsid w:val="00381B1F"/>
    <w:rsid w:val="003E1361"/>
    <w:rsid w:val="003E6216"/>
    <w:rsid w:val="00421F2A"/>
    <w:rsid w:val="00480903"/>
    <w:rsid w:val="00484CC9"/>
    <w:rsid w:val="004B17AF"/>
    <w:rsid w:val="005104A5"/>
    <w:rsid w:val="00523304"/>
    <w:rsid w:val="005B0026"/>
    <w:rsid w:val="005E3237"/>
    <w:rsid w:val="0060522D"/>
    <w:rsid w:val="00613073"/>
    <w:rsid w:val="00626C84"/>
    <w:rsid w:val="00693E66"/>
    <w:rsid w:val="006B78D5"/>
    <w:rsid w:val="006C0756"/>
    <w:rsid w:val="006D0A29"/>
    <w:rsid w:val="006F3752"/>
    <w:rsid w:val="006F6A0A"/>
    <w:rsid w:val="00701D0E"/>
    <w:rsid w:val="0073086B"/>
    <w:rsid w:val="00777EBE"/>
    <w:rsid w:val="007C23BE"/>
    <w:rsid w:val="007E177D"/>
    <w:rsid w:val="008156E9"/>
    <w:rsid w:val="008558B8"/>
    <w:rsid w:val="00856322"/>
    <w:rsid w:val="008758D8"/>
    <w:rsid w:val="008D3B1A"/>
    <w:rsid w:val="00920D25"/>
    <w:rsid w:val="009442F4"/>
    <w:rsid w:val="00952A90"/>
    <w:rsid w:val="00952D8B"/>
    <w:rsid w:val="009A4E2B"/>
    <w:rsid w:val="00A56AF9"/>
    <w:rsid w:val="00A64A84"/>
    <w:rsid w:val="00A71211"/>
    <w:rsid w:val="00A800DA"/>
    <w:rsid w:val="00AA2962"/>
    <w:rsid w:val="00AB4E59"/>
    <w:rsid w:val="00AC12CB"/>
    <w:rsid w:val="00AF610C"/>
    <w:rsid w:val="00B0072B"/>
    <w:rsid w:val="00B52983"/>
    <w:rsid w:val="00B650E6"/>
    <w:rsid w:val="00B83555"/>
    <w:rsid w:val="00BA3B4B"/>
    <w:rsid w:val="00BE2DD7"/>
    <w:rsid w:val="00BE40E2"/>
    <w:rsid w:val="00C16AF4"/>
    <w:rsid w:val="00C606C2"/>
    <w:rsid w:val="00C6469A"/>
    <w:rsid w:val="00C87382"/>
    <w:rsid w:val="00CC2E86"/>
    <w:rsid w:val="00CE5D86"/>
    <w:rsid w:val="00D21617"/>
    <w:rsid w:val="00D25EF3"/>
    <w:rsid w:val="00D3661C"/>
    <w:rsid w:val="00D372F5"/>
    <w:rsid w:val="00D37CE2"/>
    <w:rsid w:val="00D47F47"/>
    <w:rsid w:val="00D73C0C"/>
    <w:rsid w:val="00D911CD"/>
    <w:rsid w:val="00DC2A87"/>
    <w:rsid w:val="00E3688C"/>
    <w:rsid w:val="00E452F2"/>
    <w:rsid w:val="00EC5CB8"/>
    <w:rsid w:val="00ED05D5"/>
    <w:rsid w:val="00EF2FE2"/>
    <w:rsid w:val="00EF6CD3"/>
    <w:rsid w:val="00F070F0"/>
    <w:rsid w:val="00F35AF4"/>
    <w:rsid w:val="00F575CB"/>
    <w:rsid w:val="00F57804"/>
    <w:rsid w:val="00F61A7D"/>
    <w:rsid w:val="00FC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6860A"/>
  <w15:docId w15:val="{70F3FC47-6461-4871-A1DF-5B92FB4A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Connolly's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Connolly</dc:creator>
  <cp:lastModifiedBy>Karen Newcombe</cp:lastModifiedBy>
  <cp:revision>6</cp:revision>
  <cp:lastPrinted>2016-04-29T09:35:00Z</cp:lastPrinted>
  <dcterms:created xsi:type="dcterms:W3CDTF">2017-10-02T10:01:00Z</dcterms:created>
  <dcterms:modified xsi:type="dcterms:W3CDTF">2017-10-03T06:26:00Z</dcterms:modified>
</cp:coreProperties>
</file>