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C16E2" w14:textId="6CD6646F" w:rsidR="0051799C" w:rsidRDefault="009632D1">
      <w:pPr>
        <w:pStyle w:val="BodyText"/>
        <w:ind w:left="118"/>
        <w:rPr>
          <w:rFonts w:ascii="Times New Roman"/>
          <w:sz w:val="20"/>
        </w:rPr>
      </w:pPr>
      <w:r>
        <w:rPr>
          <w:noProof/>
        </w:rPr>
        <mc:AlternateContent>
          <mc:Choice Requires="wps">
            <w:drawing>
              <wp:anchor distT="0" distB="0" distL="114300" distR="114300" simplePos="0" relativeHeight="251658752" behindDoc="1" locked="0" layoutInCell="1" allowOverlap="1" wp14:anchorId="01A05FF4" wp14:editId="79D7F4C7">
                <wp:simplePos x="0" y="0"/>
                <wp:positionH relativeFrom="page">
                  <wp:posOffset>1141730</wp:posOffset>
                </wp:positionH>
                <wp:positionV relativeFrom="page">
                  <wp:posOffset>9785350</wp:posOffset>
                </wp:positionV>
                <wp:extent cx="28575" cy="127000"/>
                <wp:effectExtent l="0" t="3175" r="127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C9917" w14:textId="77777777" w:rsidR="0051799C" w:rsidRDefault="009632D1">
                            <w:pPr>
                              <w:spacing w:line="199" w:lineRule="exact"/>
                              <w:rPr>
                                <w:rFonts w:ascii="Times New Roman"/>
                                <w:sz w:val="18"/>
                              </w:rPr>
                            </w:pPr>
                            <w:r>
                              <w:rPr>
                                <w:rFonts w:ascii="Times New Roman"/>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05FF4" id="_x0000_t202" coordsize="21600,21600" o:spt="202" path="m,l,21600r21600,l21600,xe">
                <v:stroke joinstyle="miter"/>
                <v:path gradientshapeok="t" o:connecttype="rect"/>
              </v:shapetype>
              <v:shape id="Text Box 2" o:spid="_x0000_s1026" type="#_x0000_t202" style="position:absolute;left:0;text-align:left;margin-left:89.9pt;margin-top:770.5pt;width:2.25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T5rgIAAKc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" filled="f" stroked="f">
                <v:textbox inset="0,0,0,0">
                  <w:txbxContent>
                    <w:p w14:paraId="66CC9917" w14:textId="77777777" w:rsidR="0051799C" w:rsidRDefault="009632D1">
                      <w:pPr>
                        <w:spacing w:line="199" w:lineRule="exact"/>
                        <w:rPr>
                          <w:rFonts w:ascii="Times New Roman"/>
                          <w:sz w:val="18"/>
                        </w:rPr>
                      </w:pPr>
                      <w:r>
                        <w:rPr>
                          <w:rFonts w:ascii="Times New Roman"/>
                          <w:sz w:val="18"/>
                        </w:rPr>
                        <w:t>.</w:t>
                      </w:r>
                    </w:p>
                  </w:txbxContent>
                </v:textbox>
                <w10:wrap anchorx="page" anchory="page"/>
              </v:shape>
            </w:pict>
          </mc:Fallback>
        </mc:AlternateContent>
      </w:r>
      <w:r>
        <w:rPr>
          <w:rFonts w:ascii="Times New Roman"/>
          <w:noProof/>
          <w:sz w:val="20"/>
        </w:rPr>
        <w:drawing>
          <wp:inline distT="0" distB="0" distL="0" distR="0" wp14:anchorId="008DD309" wp14:editId="5BE5A702">
            <wp:extent cx="7177511" cy="107708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77511" cy="1077086"/>
                    </a:xfrm>
                    <a:prstGeom prst="rect">
                      <a:avLst/>
                    </a:prstGeom>
                  </pic:spPr>
                </pic:pic>
              </a:graphicData>
            </a:graphic>
          </wp:inline>
        </w:drawing>
      </w:r>
    </w:p>
    <w:p w14:paraId="6CC6932C" w14:textId="77777777" w:rsidR="0051799C" w:rsidRDefault="0051799C">
      <w:pPr>
        <w:pStyle w:val="BodyText"/>
        <w:rPr>
          <w:rFonts w:ascii="Times New Roman"/>
          <w:sz w:val="20"/>
        </w:rPr>
      </w:pPr>
    </w:p>
    <w:p w14:paraId="1908EC3C" w14:textId="77777777" w:rsidR="0051799C" w:rsidRDefault="0051799C">
      <w:pPr>
        <w:pStyle w:val="BodyText"/>
        <w:rPr>
          <w:rFonts w:ascii="Times New Roman"/>
          <w:sz w:val="20"/>
        </w:rPr>
      </w:pPr>
    </w:p>
    <w:p w14:paraId="065B66FC" w14:textId="77777777" w:rsidR="0051799C" w:rsidRDefault="0051799C">
      <w:pPr>
        <w:pStyle w:val="BodyText"/>
        <w:rPr>
          <w:rFonts w:ascii="Times New Roman"/>
          <w:sz w:val="20"/>
        </w:rPr>
      </w:pPr>
    </w:p>
    <w:p w14:paraId="7B8A72F6" w14:textId="77777777" w:rsidR="0051799C" w:rsidRDefault="0051799C">
      <w:pPr>
        <w:pStyle w:val="BodyText"/>
        <w:rPr>
          <w:rFonts w:ascii="Times New Roman"/>
          <w:sz w:val="20"/>
        </w:rPr>
      </w:pPr>
    </w:p>
    <w:p w14:paraId="09694806" w14:textId="77777777" w:rsidR="0051799C" w:rsidRDefault="0051799C">
      <w:pPr>
        <w:pStyle w:val="BodyText"/>
        <w:rPr>
          <w:rFonts w:ascii="Times New Roman"/>
          <w:sz w:val="20"/>
        </w:rPr>
      </w:pPr>
    </w:p>
    <w:p w14:paraId="26FCBD03" w14:textId="77777777" w:rsidR="0051799C" w:rsidRDefault="0051799C">
      <w:pPr>
        <w:pStyle w:val="BodyText"/>
        <w:spacing w:before="7"/>
        <w:rPr>
          <w:rFonts w:ascii="Times New Roman"/>
          <w:sz w:val="26"/>
        </w:rPr>
      </w:pPr>
    </w:p>
    <w:p w14:paraId="48EBE3B9" w14:textId="77777777" w:rsidR="0051799C" w:rsidRDefault="009632D1">
      <w:pPr>
        <w:pStyle w:val="BodyText"/>
        <w:rPr>
          <w:b/>
          <w:sz w:val="26"/>
        </w:rPr>
      </w:pPr>
      <w:r>
        <w:rPr>
          <w:noProof/>
        </w:rPr>
        <w:drawing>
          <wp:inline distT="0" distB="0" distL="0" distR="0" wp14:anchorId="1444D98C" wp14:editId="305A849C">
            <wp:extent cx="1767840" cy="883920"/>
            <wp:effectExtent l="0" t="0" r="0" b="0"/>
            <wp:docPr id="4" name="Picture 4" descr="C:\Users\Emma Keenan\AppData\Local\Microsoft\Windows\INetCache\Content.Word\HEPA Logo RGB 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 Keenan\AppData\Local\Microsoft\Windows\INetCache\Content.Word\HEPA Logo RGB Mediu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840" cy="883920"/>
                    </a:xfrm>
                    <a:prstGeom prst="rect">
                      <a:avLst/>
                    </a:prstGeom>
                    <a:noFill/>
                    <a:ln>
                      <a:noFill/>
                    </a:ln>
                  </pic:spPr>
                </pic:pic>
              </a:graphicData>
            </a:graphic>
          </wp:inline>
        </w:drawing>
      </w:r>
    </w:p>
    <w:p w14:paraId="1C8BFC90" w14:textId="77777777" w:rsidR="0051799C" w:rsidRDefault="0051799C">
      <w:pPr>
        <w:pStyle w:val="BodyText"/>
        <w:rPr>
          <w:b/>
          <w:sz w:val="26"/>
        </w:rPr>
      </w:pPr>
    </w:p>
    <w:p w14:paraId="4164D74F" w14:textId="77777777" w:rsidR="0051799C" w:rsidRDefault="0051799C">
      <w:pPr>
        <w:pStyle w:val="BodyText"/>
        <w:rPr>
          <w:b/>
          <w:sz w:val="26"/>
        </w:rPr>
      </w:pPr>
    </w:p>
    <w:p w14:paraId="54A4D7FA" w14:textId="77777777" w:rsidR="0051799C" w:rsidRDefault="0051799C">
      <w:pPr>
        <w:pStyle w:val="BodyText"/>
        <w:rPr>
          <w:b/>
          <w:sz w:val="26"/>
        </w:rPr>
      </w:pPr>
    </w:p>
    <w:p w14:paraId="52FE6956" w14:textId="77777777" w:rsidR="0051799C" w:rsidRDefault="009632D1">
      <w:pPr>
        <w:spacing w:before="1"/>
        <w:ind w:left="1577"/>
        <w:rPr>
          <w:b/>
          <w:sz w:val="24"/>
        </w:rPr>
      </w:pPr>
      <w:r>
        <w:rPr>
          <w:b/>
          <w:sz w:val="24"/>
        </w:rPr>
        <w:t>How will the Criminal Finances Act affect universities' procurement?</w:t>
      </w:r>
    </w:p>
    <w:p w14:paraId="051BE814" w14:textId="77777777" w:rsidR="0051799C" w:rsidRDefault="0051799C">
      <w:pPr>
        <w:pStyle w:val="BodyText"/>
        <w:rPr>
          <w:b/>
          <w:sz w:val="20"/>
        </w:rPr>
      </w:pPr>
    </w:p>
    <w:p w14:paraId="1AA306F5" w14:textId="77777777" w:rsidR="0051799C" w:rsidRDefault="0051799C">
      <w:pPr>
        <w:pStyle w:val="BodyText"/>
        <w:rPr>
          <w:b/>
          <w:sz w:val="20"/>
        </w:rPr>
      </w:pPr>
    </w:p>
    <w:p w14:paraId="7B4EA79D" w14:textId="77777777" w:rsidR="0051799C" w:rsidRDefault="0051799C">
      <w:pPr>
        <w:pStyle w:val="BodyText"/>
        <w:rPr>
          <w:b/>
          <w:sz w:val="20"/>
        </w:rPr>
      </w:pPr>
    </w:p>
    <w:p w14:paraId="13811E3C" w14:textId="77777777" w:rsidR="0051799C" w:rsidRDefault="0051799C">
      <w:pPr>
        <w:pStyle w:val="BodyText"/>
        <w:rPr>
          <w:b/>
          <w:sz w:val="20"/>
        </w:rPr>
      </w:pPr>
    </w:p>
    <w:p w14:paraId="5B71A25C" w14:textId="77777777" w:rsidR="0051799C" w:rsidRDefault="0051799C">
      <w:pPr>
        <w:pStyle w:val="BodyText"/>
        <w:rPr>
          <w:b/>
          <w:sz w:val="20"/>
        </w:rPr>
      </w:pPr>
    </w:p>
    <w:p w14:paraId="316E96F6" w14:textId="77777777" w:rsidR="0051799C" w:rsidRDefault="0051799C">
      <w:pPr>
        <w:pStyle w:val="BodyText"/>
        <w:rPr>
          <w:b/>
          <w:sz w:val="20"/>
        </w:rPr>
      </w:pPr>
    </w:p>
    <w:p w14:paraId="7AA238A6" w14:textId="77777777" w:rsidR="0051799C" w:rsidRDefault="0051799C">
      <w:pPr>
        <w:pStyle w:val="BodyText"/>
        <w:rPr>
          <w:b/>
          <w:sz w:val="20"/>
        </w:rPr>
      </w:pPr>
    </w:p>
    <w:p w14:paraId="3C643DFA" w14:textId="77777777" w:rsidR="0051799C" w:rsidRDefault="0051799C">
      <w:pPr>
        <w:pStyle w:val="BodyText"/>
        <w:rPr>
          <w:b/>
          <w:sz w:val="20"/>
        </w:rPr>
      </w:pPr>
    </w:p>
    <w:p w14:paraId="6CAA7B75" w14:textId="77777777" w:rsidR="0051799C" w:rsidRDefault="0051799C">
      <w:pPr>
        <w:pStyle w:val="BodyText"/>
        <w:rPr>
          <w:b/>
          <w:sz w:val="20"/>
        </w:rPr>
      </w:pPr>
    </w:p>
    <w:p w14:paraId="634F16F6" w14:textId="77777777" w:rsidR="0051799C" w:rsidRDefault="0051799C">
      <w:pPr>
        <w:pStyle w:val="BodyText"/>
        <w:rPr>
          <w:b/>
          <w:sz w:val="20"/>
        </w:rPr>
      </w:pPr>
    </w:p>
    <w:p w14:paraId="6C30C517" w14:textId="77777777" w:rsidR="0051799C" w:rsidRDefault="0051799C">
      <w:pPr>
        <w:pStyle w:val="BodyText"/>
        <w:rPr>
          <w:b/>
          <w:sz w:val="20"/>
        </w:rPr>
      </w:pPr>
    </w:p>
    <w:p w14:paraId="2605E883" w14:textId="77777777" w:rsidR="0051799C" w:rsidRDefault="0051799C">
      <w:pPr>
        <w:pStyle w:val="BodyText"/>
        <w:rPr>
          <w:b/>
          <w:sz w:val="20"/>
        </w:rPr>
      </w:pPr>
    </w:p>
    <w:p w14:paraId="4BB5A575" w14:textId="77777777" w:rsidR="0051799C" w:rsidRDefault="0051799C">
      <w:pPr>
        <w:pStyle w:val="BodyText"/>
        <w:rPr>
          <w:b/>
          <w:sz w:val="20"/>
        </w:rPr>
      </w:pPr>
    </w:p>
    <w:p w14:paraId="1299585E" w14:textId="77777777" w:rsidR="0051799C" w:rsidRDefault="0051799C">
      <w:pPr>
        <w:pStyle w:val="BodyText"/>
        <w:rPr>
          <w:b/>
          <w:sz w:val="20"/>
        </w:rPr>
      </w:pPr>
    </w:p>
    <w:p w14:paraId="1FDFBFFA" w14:textId="77777777" w:rsidR="0051799C" w:rsidRDefault="0051799C">
      <w:pPr>
        <w:pStyle w:val="BodyText"/>
        <w:rPr>
          <w:b/>
          <w:sz w:val="20"/>
        </w:rPr>
      </w:pPr>
    </w:p>
    <w:p w14:paraId="65D4ABA4" w14:textId="77777777" w:rsidR="0051799C" w:rsidRDefault="0051799C">
      <w:pPr>
        <w:pStyle w:val="BodyText"/>
        <w:rPr>
          <w:b/>
          <w:sz w:val="20"/>
        </w:rPr>
      </w:pPr>
    </w:p>
    <w:p w14:paraId="2AC999E8" w14:textId="77777777" w:rsidR="0051799C" w:rsidRDefault="0051799C">
      <w:pPr>
        <w:pStyle w:val="BodyText"/>
        <w:rPr>
          <w:b/>
          <w:sz w:val="20"/>
        </w:rPr>
      </w:pPr>
    </w:p>
    <w:p w14:paraId="13221F44" w14:textId="77777777" w:rsidR="0051799C" w:rsidRDefault="0051799C">
      <w:pPr>
        <w:pStyle w:val="BodyText"/>
        <w:rPr>
          <w:b/>
          <w:sz w:val="20"/>
        </w:rPr>
      </w:pPr>
    </w:p>
    <w:p w14:paraId="1F164035" w14:textId="77777777" w:rsidR="0051799C" w:rsidRDefault="0051799C">
      <w:pPr>
        <w:pStyle w:val="BodyText"/>
        <w:rPr>
          <w:b/>
          <w:sz w:val="20"/>
        </w:rPr>
      </w:pPr>
    </w:p>
    <w:p w14:paraId="33A9F630" w14:textId="77777777" w:rsidR="0051799C" w:rsidRDefault="0051799C">
      <w:pPr>
        <w:pStyle w:val="BodyText"/>
        <w:rPr>
          <w:b/>
          <w:sz w:val="20"/>
        </w:rPr>
      </w:pPr>
    </w:p>
    <w:p w14:paraId="1A566D7A" w14:textId="77777777" w:rsidR="0051799C" w:rsidRDefault="0051799C">
      <w:pPr>
        <w:pStyle w:val="BodyText"/>
        <w:rPr>
          <w:b/>
          <w:sz w:val="20"/>
        </w:rPr>
      </w:pPr>
    </w:p>
    <w:p w14:paraId="00B2933A" w14:textId="77777777" w:rsidR="0051799C" w:rsidRDefault="0051799C">
      <w:pPr>
        <w:pStyle w:val="BodyText"/>
        <w:rPr>
          <w:b/>
          <w:sz w:val="20"/>
        </w:rPr>
      </w:pPr>
    </w:p>
    <w:p w14:paraId="5DC6CA7F" w14:textId="77777777" w:rsidR="0051799C" w:rsidRDefault="0051799C">
      <w:pPr>
        <w:pStyle w:val="BodyText"/>
        <w:rPr>
          <w:b/>
          <w:sz w:val="20"/>
        </w:rPr>
      </w:pPr>
    </w:p>
    <w:p w14:paraId="2E534D58" w14:textId="77777777" w:rsidR="0051799C" w:rsidRDefault="0051799C">
      <w:pPr>
        <w:pStyle w:val="BodyText"/>
        <w:rPr>
          <w:b/>
          <w:sz w:val="20"/>
        </w:rPr>
      </w:pPr>
    </w:p>
    <w:p w14:paraId="4CCAFACA" w14:textId="77777777" w:rsidR="0051799C" w:rsidRDefault="0051799C">
      <w:pPr>
        <w:pStyle w:val="BodyText"/>
        <w:rPr>
          <w:b/>
          <w:sz w:val="20"/>
        </w:rPr>
      </w:pPr>
    </w:p>
    <w:p w14:paraId="2203FEB6" w14:textId="77777777" w:rsidR="0051799C" w:rsidRDefault="0051799C">
      <w:pPr>
        <w:pStyle w:val="BodyText"/>
        <w:rPr>
          <w:b/>
          <w:sz w:val="20"/>
        </w:rPr>
      </w:pPr>
    </w:p>
    <w:p w14:paraId="0E4F521B" w14:textId="77777777" w:rsidR="0051799C" w:rsidRDefault="0051799C">
      <w:pPr>
        <w:pStyle w:val="BodyText"/>
        <w:rPr>
          <w:b/>
          <w:sz w:val="20"/>
        </w:rPr>
      </w:pPr>
    </w:p>
    <w:p w14:paraId="140D7BF3" w14:textId="77777777" w:rsidR="0051799C" w:rsidRDefault="0051799C">
      <w:pPr>
        <w:pStyle w:val="BodyText"/>
        <w:rPr>
          <w:b/>
          <w:sz w:val="20"/>
        </w:rPr>
      </w:pPr>
    </w:p>
    <w:p w14:paraId="6458DE36" w14:textId="77777777" w:rsidR="0051799C" w:rsidRDefault="0051799C">
      <w:pPr>
        <w:pStyle w:val="BodyText"/>
        <w:rPr>
          <w:b/>
          <w:sz w:val="20"/>
        </w:rPr>
      </w:pPr>
    </w:p>
    <w:p w14:paraId="40519BA7" w14:textId="77777777" w:rsidR="0051799C" w:rsidRDefault="0051799C">
      <w:pPr>
        <w:pStyle w:val="BodyText"/>
        <w:rPr>
          <w:b/>
          <w:sz w:val="20"/>
        </w:rPr>
      </w:pPr>
    </w:p>
    <w:p w14:paraId="15CD2DF0" w14:textId="77777777" w:rsidR="0051799C" w:rsidRDefault="0051799C">
      <w:pPr>
        <w:pStyle w:val="BodyText"/>
        <w:rPr>
          <w:b/>
          <w:sz w:val="20"/>
        </w:rPr>
      </w:pPr>
    </w:p>
    <w:p w14:paraId="7B68029C" w14:textId="77777777" w:rsidR="0051799C" w:rsidRDefault="0051799C">
      <w:pPr>
        <w:pStyle w:val="BodyText"/>
        <w:rPr>
          <w:b/>
          <w:sz w:val="20"/>
        </w:rPr>
      </w:pPr>
    </w:p>
    <w:p w14:paraId="6039243D" w14:textId="77777777" w:rsidR="0051799C" w:rsidRDefault="0051799C">
      <w:pPr>
        <w:pStyle w:val="BodyText"/>
        <w:rPr>
          <w:b/>
          <w:sz w:val="20"/>
        </w:rPr>
      </w:pPr>
    </w:p>
    <w:p w14:paraId="0B3024E2" w14:textId="77777777" w:rsidR="0051799C" w:rsidRDefault="0051799C">
      <w:pPr>
        <w:pStyle w:val="BodyText"/>
        <w:rPr>
          <w:b/>
          <w:sz w:val="20"/>
        </w:rPr>
      </w:pPr>
    </w:p>
    <w:p w14:paraId="5103BB15" w14:textId="77777777" w:rsidR="0051799C" w:rsidRDefault="009632D1">
      <w:pPr>
        <w:pStyle w:val="BodyText"/>
        <w:spacing w:before="2"/>
        <w:rPr>
          <w:b/>
        </w:rPr>
      </w:pPr>
      <w:r>
        <w:rPr>
          <w:noProof/>
        </w:rPr>
        <w:drawing>
          <wp:anchor distT="0" distB="0" distL="0" distR="0" simplePos="0" relativeHeight="251657728" behindDoc="0" locked="0" layoutInCell="1" allowOverlap="1" wp14:anchorId="1B9E29B8" wp14:editId="1DB3318A">
            <wp:simplePos x="0" y="0"/>
            <wp:positionH relativeFrom="page">
              <wp:posOffset>214884</wp:posOffset>
            </wp:positionH>
            <wp:positionV relativeFrom="paragraph">
              <wp:posOffset>187168</wp:posOffset>
            </wp:positionV>
            <wp:extent cx="7113499" cy="17183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113499" cy="171831"/>
                    </a:xfrm>
                    <a:prstGeom prst="rect">
                      <a:avLst/>
                    </a:prstGeom>
                  </pic:spPr>
                </pic:pic>
              </a:graphicData>
            </a:graphic>
          </wp:anchor>
        </w:drawing>
      </w:r>
    </w:p>
    <w:p w14:paraId="172CEB53" w14:textId="77777777" w:rsidR="0051799C" w:rsidRDefault="0051799C">
      <w:pPr>
        <w:sectPr w:rsidR="0051799C">
          <w:type w:val="continuous"/>
          <w:pgSz w:w="11910" w:h="16840"/>
          <w:pgMar w:top="320" w:right="220" w:bottom="280" w:left="220" w:header="720" w:footer="720" w:gutter="0"/>
          <w:cols w:space="720"/>
        </w:sectPr>
      </w:pPr>
    </w:p>
    <w:p w14:paraId="314C88B3" w14:textId="77777777" w:rsidR="0051799C" w:rsidRDefault="0051799C">
      <w:pPr>
        <w:pStyle w:val="BodyText"/>
        <w:spacing w:before="3"/>
        <w:rPr>
          <w:b/>
        </w:rPr>
      </w:pPr>
    </w:p>
    <w:p w14:paraId="602501AF" w14:textId="77777777" w:rsidR="0051799C" w:rsidRDefault="009632D1">
      <w:pPr>
        <w:spacing w:before="94"/>
        <w:ind w:left="1014" w:right="1027"/>
        <w:jc w:val="center"/>
        <w:rPr>
          <w:b/>
        </w:rPr>
      </w:pPr>
      <w:r>
        <w:rPr>
          <w:b/>
        </w:rPr>
        <w:t>How will the Criminal Finances Act affect universities' procurement?</w:t>
      </w:r>
    </w:p>
    <w:p w14:paraId="06BE7B6E" w14:textId="77777777" w:rsidR="0051799C" w:rsidRDefault="0051799C">
      <w:pPr>
        <w:pStyle w:val="BodyText"/>
        <w:spacing w:before="10"/>
        <w:rPr>
          <w:b/>
          <w:sz w:val="20"/>
        </w:rPr>
      </w:pPr>
    </w:p>
    <w:p w14:paraId="5491F12B" w14:textId="77777777" w:rsidR="0051799C" w:rsidRDefault="009632D1">
      <w:pPr>
        <w:pStyle w:val="Heading2"/>
        <w:spacing w:before="1"/>
        <w:rPr>
          <w:u w:val="none"/>
        </w:rPr>
      </w:pPr>
      <w:r>
        <w:rPr>
          <w:u w:val="thick"/>
        </w:rPr>
        <w:t>What is it?</w:t>
      </w:r>
    </w:p>
    <w:p w14:paraId="7DDDE006" w14:textId="77777777" w:rsidR="0051799C" w:rsidRDefault="0051799C">
      <w:pPr>
        <w:pStyle w:val="BodyText"/>
        <w:spacing w:before="9"/>
        <w:rPr>
          <w:b/>
          <w:i/>
          <w:sz w:val="20"/>
        </w:rPr>
      </w:pPr>
    </w:p>
    <w:p w14:paraId="43E84B7A" w14:textId="77777777" w:rsidR="0051799C" w:rsidRDefault="009632D1">
      <w:pPr>
        <w:pStyle w:val="BodyText"/>
        <w:spacing w:line="276" w:lineRule="auto"/>
        <w:ind w:left="100" w:right="115"/>
        <w:jc w:val="both"/>
      </w:pPr>
      <w:r>
        <w:t>The Criminal Finances Act 2017 is part of a wider attempt by the Government and HMRC to tackle tax evasion and avoidance. Historically, it has been difficult to pin suppliers with liability for tax evasion as the senior management of the company , (its "di</w:t>
      </w:r>
      <w:r>
        <w:t>recting mind") need to have been involved to ensure that a corporate is found liable for a criminal tax offence. The Criminal Finances Act ("CFA"), which received Royal Assent on 27 April 2017 and comes into force on 30 September 2017, has addressed this b</w:t>
      </w:r>
      <w:r>
        <w:t>y creating two new offences</w:t>
      </w:r>
      <w:r>
        <w:rPr>
          <w:spacing w:val="-4"/>
        </w:rPr>
        <w:t xml:space="preserve"> </w:t>
      </w:r>
      <w:r>
        <w:t>for</w:t>
      </w:r>
      <w:r>
        <w:rPr>
          <w:spacing w:val="-4"/>
        </w:rPr>
        <w:t xml:space="preserve"> </w:t>
      </w:r>
      <w:r>
        <w:t>companies</w:t>
      </w:r>
      <w:r>
        <w:rPr>
          <w:spacing w:val="-4"/>
        </w:rPr>
        <w:t xml:space="preserve"> </w:t>
      </w:r>
      <w:r>
        <w:t>which</w:t>
      </w:r>
      <w:r>
        <w:rPr>
          <w:spacing w:val="-4"/>
        </w:rPr>
        <w:t xml:space="preserve"> </w:t>
      </w:r>
      <w:r>
        <w:t>fail</w:t>
      </w:r>
      <w:r>
        <w:rPr>
          <w:spacing w:val="-4"/>
        </w:rPr>
        <w:t xml:space="preserve"> </w:t>
      </w:r>
      <w:r>
        <w:t>to</w:t>
      </w:r>
      <w:r>
        <w:rPr>
          <w:spacing w:val="-4"/>
        </w:rPr>
        <w:t xml:space="preserve"> </w:t>
      </w:r>
      <w:r>
        <w:t>prevent</w:t>
      </w:r>
      <w:r>
        <w:rPr>
          <w:spacing w:val="-4"/>
        </w:rPr>
        <w:t xml:space="preserve"> </w:t>
      </w:r>
      <w:r>
        <w:t>facilitation</w:t>
      </w:r>
      <w:r>
        <w:rPr>
          <w:spacing w:val="-4"/>
        </w:rPr>
        <w:t xml:space="preserve"> </w:t>
      </w:r>
      <w:r>
        <w:t>of</w:t>
      </w:r>
      <w:r>
        <w:rPr>
          <w:spacing w:val="-4"/>
        </w:rPr>
        <w:t xml:space="preserve"> </w:t>
      </w:r>
      <w:r>
        <w:t>tax</w:t>
      </w:r>
      <w:r>
        <w:rPr>
          <w:spacing w:val="-4"/>
        </w:rPr>
        <w:t xml:space="preserve"> </w:t>
      </w:r>
      <w:r>
        <w:t>evasion</w:t>
      </w:r>
      <w:r>
        <w:rPr>
          <w:spacing w:val="-4"/>
        </w:rPr>
        <w:t xml:space="preserve"> </w:t>
      </w:r>
      <w:r>
        <w:t>in</w:t>
      </w:r>
      <w:r>
        <w:rPr>
          <w:spacing w:val="-4"/>
        </w:rPr>
        <w:t xml:space="preserve"> </w:t>
      </w:r>
      <w:r>
        <w:t>the</w:t>
      </w:r>
      <w:r>
        <w:rPr>
          <w:spacing w:val="-4"/>
        </w:rPr>
        <w:t xml:space="preserve"> </w:t>
      </w:r>
      <w:r>
        <w:t>UK</w:t>
      </w:r>
      <w:r>
        <w:rPr>
          <w:spacing w:val="-4"/>
        </w:rPr>
        <w:t xml:space="preserve"> </w:t>
      </w:r>
      <w:r>
        <w:t>or</w:t>
      </w:r>
      <w:r>
        <w:rPr>
          <w:spacing w:val="-4"/>
        </w:rPr>
        <w:t xml:space="preserve"> </w:t>
      </w:r>
      <w:r>
        <w:t>overseas.</w:t>
      </w:r>
    </w:p>
    <w:p w14:paraId="41A4668E" w14:textId="77777777" w:rsidR="0051799C" w:rsidRDefault="009632D1">
      <w:pPr>
        <w:pStyle w:val="BodyText"/>
        <w:spacing w:before="199" w:line="276" w:lineRule="auto"/>
        <w:ind w:left="100" w:right="116"/>
        <w:jc w:val="both"/>
      </w:pPr>
      <w:r>
        <w:t>The CFA imposes strict liability on companies that fail to prevent facilitation. To avoid corporate liability a company must show that it has</w:t>
      </w:r>
      <w:r>
        <w:t xml:space="preserve"> reasonable procedures in place to prevent persons associated with it from facilitating tax</w:t>
      </w:r>
      <w:r>
        <w:rPr>
          <w:spacing w:val="-37"/>
        </w:rPr>
        <w:t xml:space="preserve"> </w:t>
      </w:r>
      <w:r>
        <w:t>evasion.</w:t>
      </w:r>
    </w:p>
    <w:p w14:paraId="5AFF2A41" w14:textId="77777777" w:rsidR="0051799C" w:rsidRDefault="009632D1">
      <w:pPr>
        <w:pStyle w:val="BodyText"/>
        <w:spacing w:before="199" w:line="276" w:lineRule="auto"/>
        <w:ind w:left="100" w:right="116"/>
        <w:jc w:val="both"/>
      </w:pPr>
      <w:r>
        <w:t>A company guilty of an offence is liable to an unlimited fine. So getting it wrong could be expensive for the supplier and negatively impact on their ability to bid for and deliver contracts.</w:t>
      </w:r>
    </w:p>
    <w:p w14:paraId="0A04E332" w14:textId="77777777" w:rsidR="0051799C" w:rsidRDefault="009632D1">
      <w:pPr>
        <w:pStyle w:val="Heading2"/>
        <w:rPr>
          <w:u w:val="none"/>
        </w:rPr>
      </w:pPr>
      <w:r>
        <w:rPr>
          <w:u w:val="thick"/>
        </w:rPr>
        <w:t>How does this affect you?</w:t>
      </w:r>
    </w:p>
    <w:p w14:paraId="788CB7FF" w14:textId="77777777" w:rsidR="0051799C" w:rsidRDefault="0051799C">
      <w:pPr>
        <w:pStyle w:val="BodyText"/>
        <w:spacing w:before="8"/>
        <w:rPr>
          <w:b/>
          <w:i/>
          <w:sz w:val="20"/>
        </w:rPr>
      </w:pPr>
    </w:p>
    <w:p w14:paraId="497BB2BD" w14:textId="77777777" w:rsidR="0051799C" w:rsidRDefault="009632D1">
      <w:pPr>
        <w:pStyle w:val="BodyText"/>
        <w:spacing w:line="276" w:lineRule="auto"/>
        <w:ind w:left="100" w:right="113"/>
        <w:jc w:val="both"/>
      </w:pPr>
      <w:r>
        <w:t>There are two possible impacts of the</w:t>
      </w:r>
      <w:r>
        <w:t xml:space="preserve"> CFA. The first is in procurement activity, where suppliers may have committed an offence under the CFA. It may be that the </w:t>
      </w:r>
      <w:r>
        <w:rPr>
          <w:spacing w:val="-2"/>
        </w:rPr>
        <w:t xml:space="preserve">Public  </w:t>
      </w:r>
      <w:r>
        <w:t>Contracts Regulations 2015 will be further amended to introduce these offences as a mandatory ground of exclusion – up to fi</w:t>
      </w:r>
      <w:r>
        <w:t xml:space="preserve">ve years from the date of the offence and subject to the "self cleaning" regime. This has not currently been proposed by Government and so universities will want to consider how else these offences could be captured in procurement law terms. The strongest </w:t>
      </w:r>
      <w:r>
        <w:t xml:space="preserve">option to consider appears to us to be the mandatory </w:t>
      </w:r>
      <w:r>
        <w:rPr>
          <w:spacing w:val="-2"/>
        </w:rPr>
        <w:t xml:space="preserve">and </w:t>
      </w:r>
      <w:r>
        <w:t>discretionary exclusion grounds for "</w:t>
      </w:r>
      <w:r>
        <w:rPr>
          <w:i/>
        </w:rPr>
        <w:t>breach of obligations relating to the payment of taxes or social security contributions</w:t>
      </w:r>
      <w:r>
        <w:t>" under regulation 57(3) of the Regulations. The practical limitation to th</w:t>
      </w:r>
      <w:r>
        <w:t>is is that exclusion under this ground will require a court or similar tribunal judgment "</w:t>
      </w:r>
      <w:r>
        <w:rPr>
          <w:i/>
        </w:rPr>
        <w:t>having final and binding effect</w:t>
      </w:r>
      <w:r>
        <w:t>". This means that investigations (or appealed court judgments) will not fall within this definition and so could not be used as a grou</w:t>
      </w:r>
      <w:r>
        <w:t>nd for exclusion.</w:t>
      </w:r>
    </w:p>
    <w:p w14:paraId="2984D54D" w14:textId="77777777" w:rsidR="0051799C" w:rsidRDefault="009632D1">
      <w:pPr>
        <w:pStyle w:val="BodyText"/>
        <w:spacing w:before="199" w:line="276" w:lineRule="auto"/>
        <w:ind w:left="100" w:right="114"/>
        <w:jc w:val="both"/>
      </w:pPr>
      <w:r>
        <w:t xml:space="preserve">Secondly, the CFA will apply to members who own, body corporates or partnerships </w:t>
      </w:r>
      <w:r>
        <w:rPr>
          <w:spacing w:val="-2"/>
        </w:rPr>
        <w:t xml:space="preserve">and </w:t>
      </w:r>
      <w:r>
        <w:t>capture facilitation of tax evasion by any of their "associated persons." In essence, this means anyone who performs services for the company or partnership. This includes employees, agents and subcontractors. Tax is widely defined and includes national in</w:t>
      </w:r>
      <w:r>
        <w:t>surance. As a result, it could capture an employee who subsequently becomes self employed and provides services through a corporate vehicle (which is particularly relevant given the recent changes to IR35 affecting many contractors to universities). It wou</w:t>
      </w:r>
      <w:r>
        <w:t>ld also, for example, apply to an overseas marketing agent employed to recruit</w:t>
      </w:r>
      <w:r>
        <w:rPr>
          <w:spacing w:val="-40"/>
        </w:rPr>
        <w:t xml:space="preserve"> </w:t>
      </w:r>
      <w:r>
        <w:t>students.</w:t>
      </w:r>
    </w:p>
    <w:p w14:paraId="67F7C03D" w14:textId="77777777" w:rsidR="0051799C" w:rsidRDefault="009632D1">
      <w:pPr>
        <w:pStyle w:val="Heading2"/>
        <w:rPr>
          <w:u w:val="none"/>
        </w:rPr>
      </w:pPr>
      <w:r>
        <w:rPr>
          <w:u w:val="thick"/>
        </w:rPr>
        <w:t>What should you do?</w:t>
      </w:r>
    </w:p>
    <w:p w14:paraId="2696D920" w14:textId="77777777" w:rsidR="0051799C" w:rsidRDefault="0051799C">
      <w:pPr>
        <w:pStyle w:val="BodyText"/>
        <w:spacing w:before="8"/>
        <w:rPr>
          <w:b/>
          <w:i/>
          <w:sz w:val="20"/>
        </w:rPr>
      </w:pPr>
    </w:p>
    <w:p w14:paraId="041468DC" w14:textId="77777777" w:rsidR="0051799C" w:rsidRDefault="009632D1">
      <w:pPr>
        <w:pStyle w:val="BodyText"/>
        <w:spacing w:line="276" w:lineRule="auto"/>
        <w:ind w:left="100" w:right="116"/>
        <w:jc w:val="both"/>
      </w:pPr>
      <w:r>
        <w:t>For your own companies, first of all, you should conduct a risk assessment of the areas where your organisation is potentially exposed and the ser</w:t>
      </w:r>
      <w:r>
        <w:t>vices provided by third parties.</w:t>
      </w:r>
    </w:p>
    <w:p w14:paraId="1E07774C" w14:textId="77777777" w:rsidR="0051799C" w:rsidRDefault="0051799C">
      <w:pPr>
        <w:spacing w:line="276" w:lineRule="auto"/>
        <w:jc w:val="both"/>
        <w:sectPr w:rsidR="0051799C">
          <w:footerReference w:type="default" r:id="rId10"/>
          <w:pgSz w:w="11910" w:h="16840"/>
          <w:pgMar w:top="1580" w:right="1320" w:bottom="1100" w:left="1340" w:header="0" w:footer="913" w:gutter="0"/>
          <w:pgNumType w:start="1"/>
          <w:cols w:space="720"/>
        </w:sectPr>
      </w:pPr>
    </w:p>
    <w:p w14:paraId="1F785B01" w14:textId="77777777" w:rsidR="0051799C" w:rsidRDefault="0051799C">
      <w:pPr>
        <w:pStyle w:val="BodyText"/>
        <w:spacing w:before="6"/>
      </w:pPr>
    </w:p>
    <w:p w14:paraId="6747F846" w14:textId="77777777" w:rsidR="0051799C" w:rsidRDefault="009632D1">
      <w:pPr>
        <w:pStyle w:val="BodyText"/>
        <w:spacing w:before="94" w:line="276" w:lineRule="auto"/>
        <w:ind w:left="100" w:right="116"/>
        <w:jc w:val="both"/>
      </w:pPr>
      <w:r>
        <w:t xml:space="preserve">Having done so you should then implement prevention procedures so that you can take advantage of the statutory </w:t>
      </w:r>
      <w:r>
        <w:t>defence. This applies where at the time an offence is committed an organisation had reasonable procedures in place to prevent its associated persons from committing facilitation offences. The defence operates in much the same way as the existing defence of</w:t>
      </w:r>
      <w:r>
        <w:t xml:space="preserve"> having adequate procedures in place to prevent bribery.</w:t>
      </w:r>
    </w:p>
    <w:p w14:paraId="4F0C7723" w14:textId="77777777" w:rsidR="0051799C" w:rsidRDefault="009632D1">
      <w:pPr>
        <w:pStyle w:val="BodyText"/>
        <w:spacing w:before="202" w:line="276" w:lineRule="auto"/>
        <w:ind w:left="100" w:right="115"/>
        <w:jc w:val="both"/>
      </w:pPr>
      <w:r>
        <w:t>HMRC has published draft guidance on the kind of procedures that need to be implemented. The measures need to reflect six guiding principles;</w:t>
      </w:r>
    </w:p>
    <w:p w14:paraId="2C434E29" w14:textId="77777777" w:rsidR="0051799C" w:rsidRDefault="009632D1">
      <w:pPr>
        <w:pStyle w:val="ListParagraph"/>
        <w:numPr>
          <w:ilvl w:val="0"/>
          <w:numId w:val="1"/>
        </w:numPr>
        <w:tabs>
          <w:tab w:val="left" w:pos="819"/>
          <w:tab w:val="left" w:pos="820"/>
        </w:tabs>
        <w:spacing w:before="201"/>
      </w:pPr>
      <w:r>
        <w:t>Risk</w:t>
      </w:r>
      <w:r>
        <w:rPr>
          <w:spacing w:val="-9"/>
        </w:rPr>
        <w:t xml:space="preserve"> </w:t>
      </w:r>
      <w:r>
        <w:t>assessment</w:t>
      </w:r>
    </w:p>
    <w:p w14:paraId="2D1A4992" w14:textId="77777777" w:rsidR="0051799C" w:rsidRDefault="009632D1">
      <w:pPr>
        <w:pStyle w:val="ListParagraph"/>
        <w:numPr>
          <w:ilvl w:val="0"/>
          <w:numId w:val="1"/>
        </w:numPr>
        <w:tabs>
          <w:tab w:val="left" w:pos="819"/>
          <w:tab w:val="left" w:pos="820"/>
        </w:tabs>
      </w:pPr>
      <w:r>
        <w:t>Proportional risk based prevention</w:t>
      </w:r>
      <w:r>
        <w:rPr>
          <w:spacing w:val="-26"/>
        </w:rPr>
        <w:t xml:space="preserve"> </w:t>
      </w:r>
      <w:r>
        <w:t>procedures</w:t>
      </w:r>
    </w:p>
    <w:p w14:paraId="6485353D" w14:textId="77777777" w:rsidR="0051799C" w:rsidRDefault="009632D1">
      <w:pPr>
        <w:pStyle w:val="ListParagraph"/>
        <w:numPr>
          <w:ilvl w:val="0"/>
          <w:numId w:val="1"/>
        </w:numPr>
        <w:tabs>
          <w:tab w:val="left" w:pos="819"/>
          <w:tab w:val="left" w:pos="820"/>
        </w:tabs>
      </w:pPr>
      <w:r>
        <w:t>Top level</w:t>
      </w:r>
      <w:r>
        <w:rPr>
          <w:spacing w:val="-11"/>
        </w:rPr>
        <w:t xml:space="preserve"> </w:t>
      </w:r>
      <w:r>
        <w:t>commitment</w:t>
      </w:r>
    </w:p>
    <w:p w14:paraId="65583EC6" w14:textId="77777777" w:rsidR="0051799C" w:rsidRDefault="009632D1">
      <w:pPr>
        <w:pStyle w:val="ListParagraph"/>
        <w:numPr>
          <w:ilvl w:val="0"/>
          <w:numId w:val="1"/>
        </w:numPr>
        <w:tabs>
          <w:tab w:val="left" w:pos="819"/>
          <w:tab w:val="left" w:pos="820"/>
        </w:tabs>
        <w:spacing w:before="37"/>
      </w:pPr>
      <w:r>
        <w:t>The exercise of due</w:t>
      </w:r>
      <w:r>
        <w:rPr>
          <w:spacing w:val="-16"/>
        </w:rPr>
        <w:t xml:space="preserve"> </w:t>
      </w:r>
      <w:r>
        <w:t>diligence</w:t>
      </w:r>
    </w:p>
    <w:p w14:paraId="056D1510" w14:textId="77777777" w:rsidR="0051799C" w:rsidRDefault="009632D1">
      <w:pPr>
        <w:pStyle w:val="ListParagraph"/>
        <w:numPr>
          <w:ilvl w:val="0"/>
          <w:numId w:val="1"/>
        </w:numPr>
        <w:tabs>
          <w:tab w:val="left" w:pos="819"/>
          <w:tab w:val="left" w:pos="820"/>
        </w:tabs>
      </w:pPr>
      <w:r>
        <w:t>Communication of the policy and</w:t>
      </w:r>
      <w:r>
        <w:rPr>
          <w:spacing w:val="-20"/>
        </w:rPr>
        <w:t xml:space="preserve"> </w:t>
      </w:r>
      <w:r>
        <w:t>training</w:t>
      </w:r>
    </w:p>
    <w:p w14:paraId="44CDC634" w14:textId="77777777" w:rsidR="0051799C" w:rsidRDefault="009632D1">
      <w:pPr>
        <w:pStyle w:val="ListParagraph"/>
        <w:numPr>
          <w:ilvl w:val="0"/>
          <w:numId w:val="1"/>
        </w:numPr>
        <w:tabs>
          <w:tab w:val="left" w:pos="819"/>
          <w:tab w:val="left" w:pos="820"/>
        </w:tabs>
        <w:spacing w:before="37"/>
      </w:pPr>
      <w:r>
        <w:t>Continuing ongoing monitoring and</w:t>
      </w:r>
      <w:r>
        <w:rPr>
          <w:spacing w:val="-23"/>
        </w:rPr>
        <w:t xml:space="preserve"> </w:t>
      </w:r>
      <w:r>
        <w:t>review.</w:t>
      </w:r>
    </w:p>
    <w:p w14:paraId="253985FE" w14:textId="77777777" w:rsidR="0051799C" w:rsidRDefault="0051799C">
      <w:pPr>
        <w:pStyle w:val="BodyText"/>
        <w:spacing w:before="4"/>
        <w:rPr>
          <w:sz w:val="20"/>
        </w:rPr>
      </w:pPr>
    </w:p>
    <w:p w14:paraId="2AD63798" w14:textId="77777777" w:rsidR="0051799C" w:rsidRDefault="009632D1">
      <w:pPr>
        <w:pStyle w:val="BodyText"/>
        <w:spacing w:line="276" w:lineRule="auto"/>
        <w:ind w:left="100" w:right="116"/>
        <w:jc w:val="both"/>
      </w:pPr>
      <w:r>
        <w:t>For procurements, your standard template documents may need to be updated to reflect the change and guidance provided to procurement teams to ensure that this is applied consistently.</w:t>
      </w:r>
    </w:p>
    <w:p w14:paraId="771F7F48" w14:textId="77777777" w:rsidR="0051799C" w:rsidRDefault="009632D1">
      <w:pPr>
        <w:pStyle w:val="BodyText"/>
        <w:spacing w:before="199" w:line="254" w:lineRule="auto"/>
        <w:ind w:left="100" w:right="116"/>
        <w:jc w:val="both"/>
      </w:pPr>
      <w:r>
        <w:t>Our recommendation is to focus on major risk areas and have a clear time</w:t>
      </w:r>
      <w:r>
        <w:t>table and implementation plan by 30</w:t>
      </w:r>
      <w:r>
        <w:rPr>
          <w:position w:val="10"/>
          <w:sz w:val="14"/>
        </w:rPr>
        <w:t xml:space="preserve">th  </w:t>
      </w:r>
      <w:r>
        <w:t>September 2017.</w:t>
      </w:r>
      <w:bookmarkStart w:id="0" w:name="_GoBack"/>
      <w:bookmarkEnd w:id="0"/>
    </w:p>
    <w:p w14:paraId="0E62EEC9" w14:textId="77777777" w:rsidR="0051799C" w:rsidRDefault="009632D1">
      <w:pPr>
        <w:pStyle w:val="Heading2"/>
        <w:spacing w:before="219"/>
        <w:rPr>
          <w:u w:val="none"/>
        </w:rPr>
      </w:pPr>
      <w:r>
        <w:rPr>
          <w:u w:val="none"/>
        </w:rPr>
        <w:t>Need more help?</w:t>
      </w:r>
    </w:p>
    <w:p w14:paraId="046F51CA" w14:textId="77777777" w:rsidR="0051799C" w:rsidRDefault="0051799C">
      <w:pPr>
        <w:pStyle w:val="BodyText"/>
        <w:spacing w:before="8"/>
        <w:rPr>
          <w:b/>
          <w:i/>
          <w:sz w:val="20"/>
        </w:rPr>
      </w:pPr>
    </w:p>
    <w:p w14:paraId="3DA171C6" w14:textId="77777777" w:rsidR="0051799C" w:rsidRDefault="009632D1">
      <w:pPr>
        <w:pStyle w:val="BodyText"/>
        <w:spacing w:line="276" w:lineRule="auto"/>
        <w:ind w:left="100" w:right="116"/>
        <w:jc w:val="both"/>
      </w:pPr>
      <w:r>
        <w:t xml:space="preserve">If you would like to know more about CFA and its implications for procurement and the higher education sector then please contact Clare Hatcher, Partner at Clyde &amp; Co via </w:t>
      </w:r>
      <w:hyperlink r:id="rId11">
        <w:r>
          <w:t>clare.hatcher@clydeco.com.</w:t>
        </w:r>
      </w:hyperlink>
    </w:p>
    <w:p w14:paraId="75968607" w14:textId="77777777" w:rsidR="0051799C" w:rsidRDefault="0051799C">
      <w:pPr>
        <w:pStyle w:val="BodyText"/>
        <w:rPr>
          <w:sz w:val="20"/>
        </w:rPr>
      </w:pPr>
    </w:p>
    <w:p w14:paraId="2AA0B73A" w14:textId="77777777" w:rsidR="0051799C" w:rsidRDefault="0051799C">
      <w:pPr>
        <w:pStyle w:val="BodyText"/>
        <w:rPr>
          <w:sz w:val="20"/>
        </w:rPr>
      </w:pPr>
    </w:p>
    <w:p w14:paraId="72A1E922" w14:textId="77777777" w:rsidR="0051799C" w:rsidRDefault="009632D1">
      <w:pPr>
        <w:pStyle w:val="BodyText"/>
        <w:rPr>
          <w:sz w:val="28"/>
        </w:rPr>
      </w:pPr>
      <w:r>
        <w:rPr>
          <w:noProof/>
        </w:rPr>
        <w:drawing>
          <wp:anchor distT="0" distB="0" distL="0" distR="0" simplePos="0" relativeHeight="251656704" behindDoc="0" locked="0" layoutInCell="1" allowOverlap="1" wp14:anchorId="7E804FB9" wp14:editId="1B7F6F2F">
            <wp:simplePos x="0" y="0"/>
            <wp:positionH relativeFrom="page">
              <wp:posOffset>914400</wp:posOffset>
            </wp:positionH>
            <wp:positionV relativeFrom="paragraph">
              <wp:posOffset>229270</wp:posOffset>
            </wp:positionV>
            <wp:extent cx="1138426" cy="22526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138426" cy="225266"/>
                    </a:xfrm>
                    <a:prstGeom prst="rect">
                      <a:avLst/>
                    </a:prstGeom>
                  </pic:spPr>
                </pic:pic>
              </a:graphicData>
            </a:graphic>
          </wp:anchor>
        </w:drawing>
      </w:r>
    </w:p>
    <w:p w14:paraId="4879BEFA" w14:textId="77777777" w:rsidR="0051799C" w:rsidRDefault="009632D1">
      <w:pPr>
        <w:ind w:left="100"/>
        <w:jc w:val="both"/>
        <w:rPr>
          <w:b/>
          <w:sz w:val="20"/>
        </w:rPr>
      </w:pPr>
      <w:r>
        <w:rPr>
          <w:b/>
          <w:sz w:val="20"/>
        </w:rPr>
        <w:t>16 August 2017</w:t>
      </w:r>
    </w:p>
    <w:sectPr w:rsidR="0051799C">
      <w:pgSz w:w="11910" w:h="16840"/>
      <w:pgMar w:top="1580" w:right="1320" w:bottom="1100" w:left="1340" w:header="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18EF" w14:textId="77777777" w:rsidR="00000000" w:rsidRDefault="009632D1">
      <w:r>
        <w:separator/>
      </w:r>
    </w:p>
  </w:endnote>
  <w:endnote w:type="continuationSeparator" w:id="0">
    <w:p w14:paraId="15743C91" w14:textId="77777777" w:rsidR="00000000" w:rsidRDefault="0096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F8FE" w14:textId="14E21224" w:rsidR="0051799C" w:rsidRDefault="009632D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4A2DB87" wp14:editId="57312EED">
              <wp:simplePos x="0" y="0"/>
              <wp:positionH relativeFrom="page">
                <wp:posOffset>6555105</wp:posOffset>
              </wp:positionH>
              <wp:positionV relativeFrom="page">
                <wp:posOffset>9972675</wp:posOffset>
              </wp:positionV>
              <wp:extent cx="114935" cy="153670"/>
              <wp:effectExtent l="1905"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DE1D2" w14:textId="77777777" w:rsidR="0051799C" w:rsidRDefault="009632D1">
                          <w:pPr>
                            <w:spacing w:before="14"/>
                            <w:ind w:left="40"/>
                            <w:rPr>
                              <w:sz w:val="18"/>
                            </w:rPr>
                          </w:pPr>
                          <w:r>
                            <w:fldChar w:fldCharType="begin"/>
                          </w:r>
                          <w:r>
                            <w:rPr>
                              <w:sz w:val="18"/>
                            </w:rPr>
                            <w:instrText xml:space="preserve"> PAGE </w:instrText>
                          </w:r>
                          <w:r>
                            <w:fldChar w:fldCharType="separate"/>
                          </w:r>
                          <w:r>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2DB87" id="_x0000_t202" coordsize="21600,21600" o:spt="202" path="m,l,21600r21600,l21600,xe">
              <v:stroke joinstyle="miter"/>
              <v:path gradientshapeok="t" o:connecttype="rect"/>
            </v:shapetype>
            <v:shape id="Text Box 1" o:spid="_x0000_s1027" type="#_x0000_t202" style="position:absolute;margin-left:516.15pt;margin-top:785.25pt;width:9.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rCrQ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" filled="f" stroked="f">
              <v:textbox inset="0,0,0,0">
                <w:txbxContent>
                  <w:p w14:paraId="088DE1D2" w14:textId="77777777" w:rsidR="0051799C" w:rsidRDefault="009632D1">
                    <w:pPr>
                      <w:spacing w:before="14"/>
                      <w:ind w:left="40"/>
                      <w:rPr>
                        <w:sz w:val="18"/>
                      </w:rPr>
                    </w:pPr>
                    <w:r>
                      <w:fldChar w:fldCharType="begin"/>
                    </w:r>
                    <w:r>
                      <w:rPr>
                        <w:sz w:val="18"/>
                      </w:rPr>
                      <w:instrText xml:space="preserve"> PAGE </w:instrText>
                    </w:r>
                    <w:r>
                      <w:fldChar w:fldCharType="separate"/>
                    </w:r>
                    <w:r>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706F" w14:textId="77777777" w:rsidR="00000000" w:rsidRDefault="009632D1">
      <w:r>
        <w:separator/>
      </w:r>
    </w:p>
  </w:footnote>
  <w:footnote w:type="continuationSeparator" w:id="0">
    <w:p w14:paraId="67DF4BA0" w14:textId="77777777" w:rsidR="00000000" w:rsidRDefault="00963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97359"/>
    <w:multiLevelType w:val="hybridMultilevel"/>
    <w:tmpl w:val="C81EC2D6"/>
    <w:lvl w:ilvl="0" w:tplc="28E657D8">
      <w:numFmt w:val="bullet"/>
      <w:lvlText w:val=""/>
      <w:lvlJc w:val="left"/>
      <w:pPr>
        <w:ind w:left="820" w:hanging="360"/>
      </w:pPr>
      <w:rPr>
        <w:rFonts w:ascii="Symbol" w:eastAsia="Symbol" w:hAnsi="Symbol" w:cs="Symbol" w:hint="default"/>
        <w:w w:val="100"/>
        <w:sz w:val="22"/>
        <w:szCs w:val="22"/>
      </w:rPr>
    </w:lvl>
    <w:lvl w:ilvl="1" w:tplc="4B883892">
      <w:numFmt w:val="bullet"/>
      <w:lvlText w:val="•"/>
      <w:lvlJc w:val="left"/>
      <w:pPr>
        <w:ind w:left="1662" w:hanging="360"/>
      </w:pPr>
      <w:rPr>
        <w:rFonts w:hint="default"/>
      </w:rPr>
    </w:lvl>
    <w:lvl w:ilvl="2" w:tplc="B79A27FA">
      <w:numFmt w:val="bullet"/>
      <w:lvlText w:val="•"/>
      <w:lvlJc w:val="left"/>
      <w:pPr>
        <w:ind w:left="2505" w:hanging="360"/>
      </w:pPr>
      <w:rPr>
        <w:rFonts w:hint="default"/>
      </w:rPr>
    </w:lvl>
    <w:lvl w:ilvl="3" w:tplc="F70C27A2">
      <w:numFmt w:val="bullet"/>
      <w:lvlText w:val="•"/>
      <w:lvlJc w:val="left"/>
      <w:pPr>
        <w:ind w:left="3347" w:hanging="360"/>
      </w:pPr>
      <w:rPr>
        <w:rFonts w:hint="default"/>
      </w:rPr>
    </w:lvl>
    <w:lvl w:ilvl="4" w:tplc="B9E89D4E">
      <w:numFmt w:val="bullet"/>
      <w:lvlText w:val="•"/>
      <w:lvlJc w:val="left"/>
      <w:pPr>
        <w:ind w:left="4190" w:hanging="360"/>
      </w:pPr>
      <w:rPr>
        <w:rFonts w:hint="default"/>
      </w:rPr>
    </w:lvl>
    <w:lvl w:ilvl="5" w:tplc="2D06C988">
      <w:numFmt w:val="bullet"/>
      <w:lvlText w:val="•"/>
      <w:lvlJc w:val="left"/>
      <w:pPr>
        <w:ind w:left="5032" w:hanging="360"/>
      </w:pPr>
      <w:rPr>
        <w:rFonts w:hint="default"/>
      </w:rPr>
    </w:lvl>
    <w:lvl w:ilvl="6" w:tplc="0B7A98E2">
      <w:numFmt w:val="bullet"/>
      <w:lvlText w:val="•"/>
      <w:lvlJc w:val="left"/>
      <w:pPr>
        <w:ind w:left="5875" w:hanging="360"/>
      </w:pPr>
      <w:rPr>
        <w:rFonts w:hint="default"/>
      </w:rPr>
    </w:lvl>
    <w:lvl w:ilvl="7" w:tplc="BC04830A">
      <w:numFmt w:val="bullet"/>
      <w:lvlText w:val="•"/>
      <w:lvlJc w:val="left"/>
      <w:pPr>
        <w:ind w:left="6717" w:hanging="360"/>
      </w:pPr>
      <w:rPr>
        <w:rFonts w:hint="default"/>
      </w:rPr>
    </w:lvl>
    <w:lvl w:ilvl="8" w:tplc="A058D862">
      <w:numFmt w:val="bullet"/>
      <w:lvlText w:val="•"/>
      <w:lvlJc w:val="left"/>
      <w:pPr>
        <w:ind w:left="75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9C"/>
    <w:rsid w:val="0051799C"/>
    <w:rsid w:val="00963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5542AB"/>
  <w15:docId w15:val="{A8F66F2A-BB9B-4961-8C40-5C367671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577"/>
      <w:outlineLvl w:val="0"/>
    </w:pPr>
    <w:rPr>
      <w:b/>
      <w:bCs/>
      <w:sz w:val="24"/>
      <w:szCs w:val="24"/>
    </w:rPr>
  </w:style>
  <w:style w:type="paragraph" w:styleId="Heading2">
    <w:name w:val="heading 2"/>
    <w:basedOn w:val="Normal"/>
    <w:uiPriority w:val="1"/>
    <w:qFormat/>
    <w:pPr>
      <w:spacing w:before="199"/>
      <w:ind w:left="100"/>
      <w:jc w:val="both"/>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5"/>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re.hatcher@clydeco.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Microsoft Word - 83064294_2.docx</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- 83064294_2.docx</dc:title>
  <dc:creator>Emma Keenan</dc:creator>
  <cp:lastModifiedBy>Emma Keenan</cp:lastModifiedBy>
  <cp:revision>2</cp:revision>
  <dcterms:created xsi:type="dcterms:W3CDTF">2017-08-23T10:13:00Z</dcterms:created>
  <dcterms:modified xsi:type="dcterms:W3CDTF">2017-08-23T10:13:00Z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Aspose Ltd.</vt:lpwstr>
  </property>
  <property fmtid="{D5CDD505-2E9C-101B-9397-08002B2CF9AE}" pid="4" name="LastSaved">
    <vt:filetime>2017-08-23T00:00:00Z</vt:filetime>
  </property>
</Properties>
</file>