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800C" w14:textId="70D2F797" w:rsidR="27609CF5" w:rsidRDefault="27609CF5" w:rsidP="33905115">
      <w:pPr>
        <w:spacing w:after="0" w:line="240" w:lineRule="auto"/>
        <w:jc w:val="center"/>
      </w:pPr>
      <w:r>
        <w:rPr>
          <w:noProof/>
        </w:rPr>
        <w:drawing>
          <wp:inline distT="0" distB="0" distL="0" distR="0" wp14:anchorId="3C0CE52E" wp14:editId="0A36763F">
            <wp:extent cx="2343150" cy="1064181"/>
            <wp:effectExtent l="0" t="0" r="0" b="0"/>
            <wp:docPr id="8650959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064181"/>
                    </a:xfrm>
                    <a:prstGeom prst="rect">
                      <a:avLst/>
                    </a:prstGeom>
                  </pic:spPr>
                </pic:pic>
              </a:graphicData>
            </a:graphic>
          </wp:inline>
        </w:drawing>
      </w:r>
    </w:p>
    <w:p w14:paraId="39DB238E" w14:textId="2AF6AE37" w:rsidR="33905115" w:rsidRDefault="33905115" w:rsidP="33905115">
      <w:pPr>
        <w:jc w:val="center"/>
      </w:pPr>
      <w:r w:rsidRPr="33905115">
        <w:rPr>
          <w:b/>
          <w:bCs/>
          <w:sz w:val="28"/>
          <w:szCs w:val="28"/>
        </w:rPr>
        <w:t>Information for new members</w:t>
      </w:r>
    </w:p>
    <w:p w14:paraId="4F8F4E1A" w14:textId="5FA7E459" w:rsidR="27609CF5" w:rsidRDefault="27609CF5" w:rsidP="33905115">
      <w:pPr>
        <w:spacing w:after="0" w:line="240" w:lineRule="auto"/>
      </w:pPr>
    </w:p>
    <w:p w14:paraId="2ED7749D" w14:textId="10A3EEB6" w:rsidR="27609CF5" w:rsidRDefault="33905115" w:rsidP="33905115">
      <w:pPr>
        <w:spacing w:after="0" w:line="240" w:lineRule="auto"/>
        <w:rPr>
          <w:rFonts w:ascii="Calibri" w:eastAsia="Calibri" w:hAnsi="Calibri" w:cs="Calibri"/>
        </w:rPr>
      </w:pPr>
      <w:r w:rsidRPr="33905115">
        <w:rPr>
          <w:b/>
          <w:bCs/>
        </w:rPr>
        <w:t>What is BUFDG?</w:t>
      </w:r>
    </w:p>
    <w:p w14:paraId="0852442F" w14:textId="3DE6FB2B" w:rsidR="27609CF5" w:rsidRDefault="70C00243" w:rsidP="27609CF5">
      <w:pPr>
        <w:spacing w:after="0" w:line="240" w:lineRule="auto"/>
      </w:pPr>
      <w:r w:rsidRPr="70C00243">
        <w:rPr>
          <w:rFonts w:ascii="Calibri" w:eastAsia="Calibri" w:hAnsi="Calibri" w:cs="Calibri"/>
        </w:rPr>
        <w:t xml:space="preserve">The British Universities Finance Directors Group (BUFDG) is the representative body for Higher Education (HE) finance staff in the United Kingdom. Its members are the Directors of Finance and Chief Financial Officers of almost all UK higher education institutions (HEIs). Its work supports over 6,000 HE employees in over 170 universities. </w:t>
      </w:r>
    </w:p>
    <w:p w14:paraId="170DEF25" w14:textId="36A14938" w:rsidR="27609CF5" w:rsidRDefault="70C00243" w:rsidP="27609CF5">
      <w:pPr>
        <w:spacing w:after="0" w:line="240" w:lineRule="auto"/>
      </w:pPr>
      <w:r w:rsidRPr="70C00243">
        <w:rPr>
          <w:rFonts w:ascii="Calibri" w:eastAsia="Calibri" w:hAnsi="Calibri" w:cs="Calibri"/>
        </w:rPr>
        <w:t xml:space="preserve">  </w:t>
      </w:r>
    </w:p>
    <w:p w14:paraId="0A9C9F02" w14:textId="70A7BEFA" w:rsidR="27609CF5" w:rsidRDefault="33905115" w:rsidP="33905115">
      <w:pPr>
        <w:spacing w:after="0" w:line="240" w:lineRule="auto"/>
        <w:rPr>
          <w:rFonts w:ascii="Calibri" w:eastAsia="Calibri" w:hAnsi="Calibri" w:cs="Calibri"/>
        </w:rPr>
      </w:pPr>
      <w:r w:rsidRPr="33905115">
        <w:rPr>
          <w:rFonts w:ascii="Calibri" w:eastAsia="Calibri" w:hAnsi="Calibri" w:cs="Calibri"/>
        </w:rPr>
        <w:t xml:space="preserve">BUFDG is an active and open partner to the HE </w:t>
      </w:r>
      <w:proofErr w:type="gramStart"/>
      <w:r w:rsidRPr="33905115">
        <w:rPr>
          <w:rFonts w:ascii="Calibri" w:eastAsia="Calibri" w:hAnsi="Calibri" w:cs="Calibri"/>
        </w:rPr>
        <w:t>sector</w:t>
      </w:r>
      <w:proofErr w:type="gramEnd"/>
      <w:r w:rsidRPr="33905115">
        <w:rPr>
          <w:rFonts w:ascii="Calibri" w:eastAsia="Calibri" w:hAnsi="Calibri" w:cs="Calibri"/>
        </w:rPr>
        <w:t xml:space="preserve">. It works closely with other sector representative, charitable, commercial, and regulatory </w:t>
      </w:r>
      <w:proofErr w:type="spellStart"/>
      <w:r w:rsidRPr="33905115">
        <w:rPr>
          <w:rFonts w:ascii="Calibri" w:eastAsia="Calibri" w:hAnsi="Calibri" w:cs="Calibri"/>
        </w:rPr>
        <w:t>organisations</w:t>
      </w:r>
      <w:proofErr w:type="spellEnd"/>
      <w:r w:rsidRPr="33905115">
        <w:rPr>
          <w:rFonts w:ascii="Calibri" w:eastAsia="Calibri" w:hAnsi="Calibri" w:cs="Calibri"/>
        </w:rPr>
        <w:t xml:space="preserve"> for the benefit of its members. BUFDG is an association run under the umbrella </w:t>
      </w:r>
      <w:proofErr w:type="spellStart"/>
      <w:r w:rsidRPr="33905115">
        <w:rPr>
          <w:rFonts w:ascii="Calibri" w:eastAsia="Calibri" w:hAnsi="Calibri" w:cs="Calibri"/>
        </w:rPr>
        <w:t>organisation</w:t>
      </w:r>
      <w:proofErr w:type="spellEnd"/>
      <w:r w:rsidRPr="33905115">
        <w:rPr>
          <w:rFonts w:ascii="Calibri" w:eastAsia="Calibri" w:hAnsi="Calibri" w:cs="Calibri"/>
        </w:rPr>
        <w:t xml:space="preserve"> Professional HE Services Ltd (PHES), of which it is the founding member. Both BUFDG and PHES operate on a not-for-profit basis. You can find out more about the recent work of BUFDG in the attached Annual Report.</w:t>
      </w:r>
    </w:p>
    <w:p w14:paraId="71D3E26F" w14:textId="405FE2C3" w:rsidR="27609CF5" w:rsidRDefault="27609CF5" w:rsidP="33905115">
      <w:pPr>
        <w:rPr>
          <w:rFonts w:ascii="Calibri" w:eastAsia="Calibri" w:hAnsi="Calibri" w:cs="Calibri"/>
        </w:rPr>
      </w:pPr>
    </w:p>
    <w:p w14:paraId="73946063" w14:textId="4A796E4A" w:rsidR="27609CF5" w:rsidRDefault="33905115" w:rsidP="27609CF5">
      <w:r w:rsidRPr="33905115">
        <w:rPr>
          <w:b/>
          <w:bCs/>
        </w:rPr>
        <w:t>What is PHES?</w:t>
      </w:r>
    </w:p>
    <w:p w14:paraId="72AD6E53" w14:textId="7662796E" w:rsidR="27609CF5" w:rsidRDefault="33905115" w:rsidP="27609CF5">
      <w:r w:rsidRPr="33905115">
        <w:t xml:space="preserve">Professional HE Services Ltd (PHES) is a limited company owned by UK universities. It provides an operating framework for membership </w:t>
      </w:r>
      <w:proofErr w:type="spellStart"/>
      <w:r w:rsidRPr="33905115">
        <w:t>organisations</w:t>
      </w:r>
      <w:proofErr w:type="spellEnd"/>
      <w:r w:rsidRPr="33905115">
        <w:t xml:space="preserve"> that support the HE </w:t>
      </w:r>
      <w:proofErr w:type="gramStart"/>
      <w:r w:rsidRPr="33905115">
        <w:t>sector</w:t>
      </w:r>
      <w:proofErr w:type="gramEnd"/>
      <w:r w:rsidRPr="33905115">
        <w:t xml:space="preserve">, known as Special Interest </w:t>
      </w:r>
      <w:proofErr w:type="spellStart"/>
      <w:r w:rsidRPr="33905115">
        <w:t>Organisations</w:t>
      </w:r>
      <w:proofErr w:type="spellEnd"/>
      <w:r w:rsidRPr="33905115">
        <w:t xml:space="preserve"> (SIOs). PHES enables SIOs to share staff and other resources, and to operate effectively and efficiently.</w:t>
      </w:r>
    </w:p>
    <w:p w14:paraId="5B1B565F" w14:textId="039F80D8" w:rsidR="27609CF5" w:rsidRDefault="33905115" w:rsidP="27609CF5">
      <w:r w:rsidRPr="33905115">
        <w:t xml:space="preserve">There are currently four SIOs under the PHES ‘umbrella’; the Association of Universities Directors of Estates (AUDE), the British Universities Finance Directors Group (BUFDG), the Higher Education Strategic Planners Association (HESPA), and Universities Human Resources (UHR). Each has complete autonomy as to how it operates within the legal and financial rules set out in the PHES agreement. Each </w:t>
      </w:r>
      <w:proofErr w:type="spellStart"/>
      <w:r w:rsidRPr="33905115">
        <w:t>organisation</w:t>
      </w:r>
      <w:proofErr w:type="spellEnd"/>
      <w:r w:rsidRPr="33905115">
        <w:t xml:space="preserve"> has its own structure and terms of reference and is run wholly by its own executive. The latest PHES report is available on the website. Please let us know if you would like to also consider membership of other PHES </w:t>
      </w:r>
      <w:proofErr w:type="spellStart"/>
      <w:r w:rsidRPr="33905115">
        <w:t>organisations</w:t>
      </w:r>
      <w:proofErr w:type="spellEnd"/>
      <w:r w:rsidRPr="33905115">
        <w:t>.</w:t>
      </w:r>
    </w:p>
    <w:p w14:paraId="521C88D8" w14:textId="605E2E98" w:rsidR="27609CF5" w:rsidRDefault="27609CF5" w:rsidP="33905115"/>
    <w:p w14:paraId="52F29983" w14:textId="10830F5C" w:rsidR="27609CF5" w:rsidRDefault="33905115" w:rsidP="33905115">
      <w:r w:rsidRPr="33905115">
        <w:rPr>
          <w:b/>
          <w:bCs/>
        </w:rPr>
        <w:t>What is included?</w:t>
      </w:r>
    </w:p>
    <w:p w14:paraId="5E1B0D9D" w14:textId="3AFFEF77" w:rsidR="27609CF5" w:rsidRDefault="33905115" w:rsidP="33905115">
      <w:r w:rsidRPr="33905115">
        <w:t>Membership of BUFDG entitles HEIs to a wide range of benefits. These include access to:</w:t>
      </w:r>
    </w:p>
    <w:p w14:paraId="5793B5F5" w14:textId="14CDB1A2" w:rsidR="27609CF5" w:rsidRDefault="33905115" w:rsidP="33905115">
      <w:pPr>
        <w:pStyle w:val="ListParagraph"/>
        <w:numPr>
          <w:ilvl w:val="0"/>
          <w:numId w:val="1"/>
        </w:numPr>
        <w:rPr>
          <w:lang w:val="en-GB"/>
        </w:rPr>
      </w:pPr>
      <w:r w:rsidRPr="33905115">
        <w:rPr>
          <w:lang w:val="en-GB"/>
        </w:rPr>
        <w:t xml:space="preserve">HE </w:t>
      </w:r>
      <w:proofErr w:type="gramStart"/>
      <w:r w:rsidRPr="33905115">
        <w:rPr>
          <w:lang w:val="en-GB"/>
        </w:rPr>
        <w:t>sector</w:t>
      </w:r>
      <w:proofErr w:type="gramEnd"/>
      <w:r w:rsidRPr="33905115">
        <w:rPr>
          <w:lang w:val="en-GB"/>
        </w:rPr>
        <w:t xml:space="preserve"> knowledge and intelligence, in the form of newsletters and web resources</w:t>
      </w:r>
    </w:p>
    <w:p w14:paraId="32BF7D02" w14:textId="3DC885D3" w:rsidR="27609CF5" w:rsidRDefault="33905115" w:rsidP="33905115">
      <w:pPr>
        <w:pStyle w:val="ListParagraph"/>
        <w:numPr>
          <w:ilvl w:val="0"/>
          <w:numId w:val="1"/>
        </w:numPr>
        <w:rPr>
          <w:lang w:val="en-GB"/>
        </w:rPr>
      </w:pPr>
      <w:r w:rsidRPr="33905115">
        <w:rPr>
          <w:lang w:val="en-GB"/>
        </w:rPr>
        <w:t>Professional HE Tax, Payroll and Procurement experts</w:t>
      </w:r>
    </w:p>
    <w:p w14:paraId="1F43A6FB" w14:textId="265D4853" w:rsidR="27609CF5" w:rsidRDefault="33905115" w:rsidP="33905115">
      <w:pPr>
        <w:pStyle w:val="ListParagraph"/>
        <w:numPr>
          <w:ilvl w:val="0"/>
          <w:numId w:val="1"/>
        </w:numPr>
        <w:rPr>
          <w:lang w:val="en-GB"/>
        </w:rPr>
      </w:pPr>
      <w:r w:rsidRPr="33905115">
        <w:rPr>
          <w:lang w:val="en-GB"/>
        </w:rPr>
        <w:t>Member-only, and CFO-only discussion forums</w:t>
      </w:r>
    </w:p>
    <w:p w14:paraId="6DDB07AA" w14:textId="01B93892" w:rsidR="27609CF5" w:rsidRDefault="33905115" w:rsidP="33905115">
      <w:pPr>
        <w:pStyle w:val="ListParagraph"/>
        <w:numPr>
          <w:ilvl w:val="0"/>
          <w:numId w:val="1"/>
        </w:numPr>
        <w:rPr>
          <w:lang w:val="en-GB"/>
        </w:rPr>
      </w:pPr>
      <w:r w:rsidRPr="33905115">
        <w:rPr>
          <w:lang w:val="en-GB"/>
        </w:rPr>
        <w:t>Regional meetings for networking with colleagues</w:t>
      </w:r>
    </w:p>
    <w:p w14:paraId="3F6129F6" w14:textId="39A0A31E" w:rsidR="27609CF5" w:rsidRDefault="33905115" w:rsidP="33905115">
      <w:pPr>
        <w:pStyle w:val="ListParagraph"/>
        <w:numPr>
          <w:ilvl w:val="0"/>
          <w:numId w:val="1"/>
        </w:numPr>
        <w:rPr>
          <w:lang w:val="en-GB"/>
        </w:rPr>
      </w:pPr>
      <w:r w:rsidRPr="33905115">
        <w:rPr>
          <w:lang w:val="en-GB"/>
        </w:rPr>
        <w:t>Seven annual conferences, covering tax, procurement, management accounting, and more</w:t>
      </w:r>
    </w:p>
    <w:p w14:paraId="4CC02D17" w14:textId="6EB711B7" w:rsidR="27609CF5" w:rsidRDefault="33905115" w:rsidP="33905115">
      <w:pPr>
        <w:pStyle w:val="ListParagraph"/>
        <w:numPr>
          <w:ilvl w:val="0"/>
          <w:numId w:val="1"/>
        </w:numPr>
        <w:rPr>
          <w:lang w:val="en-GB"/>
        </w:rPr>
      </w:pPr>
      <w:r w:rsidRPr="33905115">
        <w:rPr>
          <w:lang w:val="en-GB"/>
        </w:rPr>
        <w:lastRenderedPageBreak/>
        <w:t>The Weekly Digest</w:t>
      </w:r>
    </w:p>
    <w:p w14:paraId="61939EC6" w14:textId="56322FF4" w:rsidR="27609CF5" w:rsidRDefault="33905115" w:rsidP="33905115">
      <w:pPr>
        <w:rPr>
          <w:lang w:val="en-GB"/>
        </w:rPr>
      </w:pPr>
      <w:r w:rsidRPr="33905115">
        <w:rPr>
          <w:lang w:val="en-GB"/>
        </w:rPr>
        <w:t>In addition, broader benefits include:</w:t>
      </w:r>
    </w:p>
    <w:p w14:paraId="02B0D012" w14:textId="0C468641" w:rsidR="27609CF5" w:rsidRDefault="33905115" w:rsidP="33905115">
      <w:pPr>
        <w:pStyle w:val="ListParagraph"/>
        <w:numPr>
          <w:ilvl w:val="0"/>
          <w:numId w:val="1"/>
        </w:numPr>
      </w:pPr>
      <w:r w:rsidRPr="33905115">
        <w:rPr>
          <w:lang w:val="en-GB"/>
        </w:rPr>
        <w:t>The benefits from special projects (see Annual Report for details)</w:t>
      </w:r>
    </w:p>
    <w:p w14:paraId="4C26CF3E" w14:textId="61B7115C" w:rsidR="27609CF5" w:rsidRDefault="33905115" w:rsidP="33905115">
      <w:pPr>
        <w:pStyle w:val="ListParagraph"/>
        <w:numPr>
          <w:ilvl w:val="0"/>
          <w:numId w:val="1"/>
        </w:numPr>
      </w:pPr>
      <w:r w:rsidRPr="33905115">
        <w:rPr>
          <w:lang w:val="en-GB"/>
        </w:rPr>
        <w:t>The opportunity for involvement in Working Groups to advance finance issues in Higher education</w:t>
      </w:r>
    </w:p>
    <w:p w14:paraId="597E1DD4" w14:textId="190C165D" w:rsidR="27609CF5" w:rsidRDefault="33905115" w:rsidP="33905115">
      <w:pPr>
        <w:pStyle w:val="ListParagraph"/>
        <w:numPr>
          <w:ilvl w:val="0"/>
          <w:numId w:val="1"/>
        </w:numPr>
      </w:pPr>
      <w:r w:rsidRPr="33905115">
        <w:rPr>
          <w:lang w:val="en-GB"/>
        </w:rPr>
        <w:t xml:space="preserve">Membership of HEPA – the Higher Education Procurement Association </w:t>
      </w:r>
    </w:p>
    <w:p w14:paraId="26597CD0" w14:textId="133B1E1D" w:rsidR="00FE5F0E" w:rsidRDefault="33905115" w:rsidP="33905115">
      <w:pPr>
        <w:pStyle w:val="ListParagraph"/>
        <w:numPr>
          <w:ilvl w:val="0"/>
          <w:numId w:val="1"/>
        </w:numPr>
        <w:rPr>
          <w:lang w:val="en-GB"/>
        </w:rPr>
      </w:pPr>
      <w:r w:rsidRPr="33905115">
        <w:rPr>
          <w:lang w:val="en-GB"/>
        </w:rPr>
        <w:t xml:space="preserve">Access to </w:t>
      </w:r>
      <w:r w:rsidR="00544316">
        <w:rPr>
          <w:lang w:val="en-GB"/>
        </w:rPr>
        <w:t xml:space="preserve">ten introductory </w:t>
      </w:r>
      <w:r w:rsidR="00FE5F0E">
        <w:rPr>
          <w:lang w:val="en-GB"/>
        </w:rPr>
        <w:t xml:space="preserve">BUFDG </w:t>
      </w:r>
      <w:r w:rsidR="00544316">
        <w:rPr>
          <w:lang w:val="en-GB"/>
        </w:rPr>
        <w:t xml:space="preserve">e-learning </w:t>
      </w:r>
      <w:r w:rsidR="00FE5F0E">
        <w:rPr>
          <w:lang w:val="en-GB"/>
        </w:rPr>
        <w:t>modules for</w:t>
      </w:r>
      <w:r w:rsidR="00DF02C2">
        <w:rPr>
          <w:lang w:val="en-GB"/>
        </w:rPr>
        <w:t xml:space="preserve"> all university staff for</w:t>
      </w:r>
      <w:r w:rsidR="00FE5F0E">
        <w:rPr>
          <w:lang w:val="en-GB"/>
        </w:rPr>
        <w:t xml:space="preserve"> free</w:t>
      </w:r>
    </w:p>
    <w:p w14:paraId="7D039DDA" w14:textId="5DFEF335" w:rsidR="27609CF5" w:rsidRDefault="00FE5F0E" w:rsidP="33905115">
      <w:pPr>
        <w:pStyle w:val="ListParagraph"/>
        <w:numPr>
          <w:ilvl w:val="0"/>
          <w:numId w:val="1"/>
        </w:numPr>
        <w:rPr>
          <w:lang w:val="en-GB"/>
        </w:rPr>
      </w:pPr>
      <w:r>
        <w:rPr>
          <w:lang w:val="en-GB"/>
        </w:rPr>
        <w:t xml:space="preserve">The option of access to </w:t>
      </w:r>
      <w:r w:rsidR="00DF02C2">
        <w:rPr>
          <w:lang w:val="en-GB"/>
        </w:rPr>
        <w:t>‘BUFDG Pro’ -</w:t>
      </w:r>
      <w:r>
        <w:rPr>
          <w:lang w:val="en-GB"/>
        </w:rPr>
        <w:t xml:space="preserve"> a further </w:t>
      </w:r>
      <w:r w:rsidR="33905115" w:rsidRPr="33905115">
        <w:rPr>
          <w:lang w:val="en-GB"/>
        </w:rPr>
        <w:t xml:space="preserve">suite of </w:t>
      </w:r>
      <w:r>
        <w:rPr>
          <w:lang w:val="en-GB"/>
        </w:rPr>
        <w:t xml:space="preserve">more advanced BUFDG </w:t>
      </w:r>
      <w:r w:rsidR="33905115" w:rsidRPr="33905115">
        <w:rPr>
          <w:lang w:val="en-GB"/>
        </w:rPr>
        <w:t>e-learning for an additional fee (see below).</w:t>
      </w:r>
    </w:p>
    <w:p w14:paraId="747CA362" w14:textId="724C2ACE" w:rsidR="27609CF5" w:rsidRDefault="33905115" w:rsidP="33905115">
      <w:pPr>
        <w:rPr>
          <w:lang w:val="en-GB"/>
        </w:rPr>
      </w:pPr>
      <w:r w:rsidRPr="33905115">
        <w:rPr>
          <w:lang w:val="en-GB"/>
        </w:rPr>
        <w:t xml:space="preserve">Membership is at an institution-level, which means that a single membership fee includes the above for any members of staff at the HEI, with no upper limit on numbers. </w:t>
      </w:r>
    </w:p>
    <w:p w14:paraId="11374E7F" w14:textId="78375192" w:rsidR="27609CF5" w:rsidRDefault="33905115" w:rsidP="33905115">
      <w:pPr>
        <w:rPr>
          <w:lang w:val="en-GB"/>
        </w:rPr>
      </w:pPr>
      <w:r w:rsidRPr="33905115">
        <w:rPr>
          <w:b/>
          <w:bCs/>
          <w:lang w:val="en-GB"/>
        </w:rPr>
        <w:t>Please see the annual report</w:t>
      </w:r>
      <w:r w:rsidR="00A46424">
        <w:rPr>
          <w:b/>
          <w:bCs/>
          <w:lang w:val="en-GB"/>
        </w:rPr>
        <w:t xml:space="preserve"> </w:t>
      </w:r>
      <w:r w:rsidR="00A46424" w:rsidRPr="00A46424">
        <w:rPr>
          <w:bCs/>
          <w:lang w:val="en-GB"/>
        </w:rPr>
        <w:t>(</w:t>
      </w:r>
      <w:hyperlink r:id="rId9" w:history="1">
        <w:r w:rsidR="00A46424">
          <w:rPr>
            <w:rStyle w:val="Hyperlink"/>
          </w:rPr>
          <w:t>https://www.bufdg.ac.uk/about/about-bufdg/</w:t>
        </w:r>
      </w:hyperlink>
      <w:r w:rsidR="00A46424">
        <w:t>)</w:t>
      </w:r>
      <w:r w:rsidRPr="33905115">
        <w:rPr>
          <w:lang w:val="en-GB"/>
        </w:rPr>
        <w:t xml:space="preserve"> for more information about the annual activities of the organisation, and the value of these for members. </w:t>
      </w:r>
    </w:p>
    <w:p w14:paraId="575A634E" w14:textId="3D814227" w:rsidR="27609CF5" w:rsidRDefault="27609CF5" w:rsidP="33905115">
      <w:pPr>
        <w:rPr>
          <w:lang w:val="en-GB"/>
        </w:rPr>
      </w:pPr>
    </w:p>
    <w:p w14:paraId="740AA0B3" w14:textId="0DCD50E6" w:rsidR="27609CF5" w:rsidRDefault="33905115" w:rsidP="33905115">
      <w:pPr>
        <w:rPr>
          <w:lang w:val="en-GB"/>
        </w:rPr>
      </w:pPr>
      <w:r w:rsidRPr="33905115">
        <w:rPr>
          <w:b/>
          <w:bCs/>
          <w:lang w:val="en-GB"/>
        </w:rPr>
        <w:t>Subscription fees</w:t>
      </w:r>
      <w:bookmarkStart w:id="0" w:name="_GoBack"/>
      <w:bookmarkEnd w:id="0"/>
    </w:p>
    <w:p w14:paraId="3674E41A" w14:textId="3C23E5A9" w:rsidR="27609CF5" w:rsidRDefault="33905115" w:rsidP="33905115">
      <w:pPr>
        <w:rPr>
          <w:lang w:val="en-GB"/>
        </w:rPr>
      </w:pPr>
      <w:r w:rsidRPr="33905115">
        <w:rPr>
          <w:lang w:val="en-GB"/>
        </w:rPr>
        <w:t xml:space="preserve">Fees for access to BUFDG are charged annually and are based on the turnover of the member institution. Fees for </w:t>
      </w:r>
      <w:r w:rsidR="00CB0E42">
        <w:rPr>
          <w:lang w:val="en-GB"/>
        </w:rPr>
        <w:t>2019/20</w:t>
      </w:r>
      <w:r w:rsidR="002900F9">
        <w:rPr>
          <w:lang w:val="en-GB"/>
        </w:rPr>
        <w:t xml:space="preserve"> </w:t>
      </w:r>
      <w:r w:rsidRPr="33905115">
        <w:rPr>
          <w:lang w:val="en-GB"/>
        </w:rPr>
        <w:t>are</w:t>
      </w:r>
      <w:r w:rsidR="0007775E">
        <w:rPr>
          <w:lang w:val="en-GB"/>
        </w:rPr>
        <w:t xml:space="preserve"> as follows</w:t>
      </w:r>
      <w:r w:rsidRPr="33905115">
        <w:rPr>
          <w:lang w:val="en-GB"/>
        </w:rPr>
        <w:t>:</w:t>
      </w:r>
    </w:p>
    <w:tbl>
      <w:tblPr>
        <w:tblStyle w:val="TableGrid"/>
        <w:tblW w:w="0" w:type="auto"/>
        <w:tblLayout w:type="fixed"/>
        <w:tblLook w:val="06A0" w:firstRow="1" w:lastRow="0" w:firstColumn="1" w:lastColumn="0" w:noHBand="1" w:noVBand="1"/>
      </w:tblPr>
      <w:tblGrid>
        <w:gridCol w:w="1500"/>
        <w:gridCol w:w="3930"/>
        <w:gridCol w:w="1710"/>
        <w:gridCol w:w="1360"/>
      </w:tblGrid>
      <w:tr w:rsidR="0007775E" w14:paraId="26E791E6" w14:textId="4AE396C3" w:rsidTr="00CB0E42">
        <w:tc>
          <w:tcPr>
            <w:tcW w:w="1500" w:type="dxa"/>
          </w:tcPr>
          <w:p w14:paraId="3A3B2A95" w14:textId="7EA34C7A" w:rsidR="0007775E" w:rsidRDefault="0007775E" w:rsidP="33905115">
            <w:pPr>
              <w:rPr>
                <w:lang w:val="en-GB"/>
              </w:rPr>
            </w:pPr>
            <w:r w:rsidRPr="33905115">
              <w:rPr>
                <w:lang w:val="en-GB"/>
              </w:rPr>
              <w:t>Turnover band</w:t>
            </w:r>
          </w:p>
        </w:tc>
        <w:tc>
          <w:tcPr>
            <w:tcW w:w="3930" w:type="dxa"/>
          </w:tcPr>
          <w:p w14:paraId="095E7D22" w14:textId="02C23EB0" w:rsidR="0007775E" w:rsidRDefault="0007775E" w:rsidP="33905115">
            <w:r w:rsidRPr="33905115">
              <w:rPr>
                <w:lang w:val="en-GB"/>
              </w:rPr>
              <w:t>Subscription rates</w:t>
            </w:r>
          </w:p>
          <w:p w14:paraId="6A3893BB" w14:textId="36C0402B" w:rsidR="0007775E" w:rsidRDefault="0007775E" w:rsidP="33905115">
            <w:r w:rsidRPr="33905115">
              <w:rPr>
                <w:lang w:val="en-GB"/>
              </w:rPr>
              <w:t>Gold level access</w:t>
            </w:r>
          </w:p>
        </w:tc>
        <w:tc>
          <w:tcPr>
            <w:tcW w:w="1710" w:type="dxa"/>
          </w:tcPr>
          <w:p w14:paraId="37F19F95" w14:textId="3B0DF10C" w:rsidR="0007775E" w:rsidRPr="008A1E51" w:rsidRDefault="00CB0E42" w:rsidP="33905115">
            <w:pPr>
              <w:rPr>
                <w:b/>
                <w:i/>
              </w:rPr>
            </w:pPr>
            <w:r w:rsidRPr="008A1E51">
              <w:rPr>
                <w:b/>
                <w:i/>
                <w:lang w:val="en-GB"/>
              </w:rPr>
              <w:t>Standard</w:t>
            </w:r>
          </w:p>
          <w:p w14:paraId="74D1C273" w14:textId="32BBCB13" w:rsidR="0007775E" w:rsidRDefault="0007775E" w:rsidP="33905115">
            <w:r w:rsidRPr="33905115">
              <w:rPr>
                <w:lang w:val="en-GB"/>
              </w:rPr>
              <w:t xml:space="preserve">£ excl. VAT </w:t>
            </w:r>
          </w:p>
        </w:tc>
        <w:tc>
          <w:tcPr>
            <w:tcW w:w="1360" w:type="dxa"/>
          </w:tcPr>
          <w:p w14:paraId="181BA1EA" w14:textId="143D5974" w:rsidR="0007775E" w:rsidRPr="33905115" w:rsidRDefault="0007775E" w:rsidP="33905115">
            <w:pPr>
              <w:rPr>
                <w:lang w:val="en-GB"/>
              </w:rPr>
            </w:pPr>
            <w:r w:rsidRPr="008A1E51">
              <w:rPr>
                <w:b/>
                <w:i/>
                <w:lang w:val="en-GB"/>
              </w:rPr>
              <w:t>BUFDG Pro</w:t>
            </w:r>
            <w:r w:rsidR="00CB0E42">
              <w:rPr>
                <w:lang w:val="en-GB"/>
              </w:rPr>
              <w:t xml:space="preserve"> £ excl. VAT</w:t>
            </w:r>
          </w:p>
        </w:tc>
      </w:tr>
      <w:tr w:rsidR="0007775E" w14:paraId="302CD409" w14:textId="35B90DB6" w:rsidTr="00CB0E42">
        <w:tc>
          <w:tcPr>
            <w:tcW w:w="1500" w:type="dxa"/>
          </w:tcPr>
          <w:p w14:paraId="4400A5B9" w14:textId="0BBBD60B" w:rsidR="0007775E" w:rsidRDefault="0007775E" w:rsidP="33905115">
            <w:pPr>
              <w:rPr>
                <w:lang w:val="en-GB"/>
              </w:rPr>
            </w:pPr>
            <w:r w:rsidRPr="33905115">
              <w:rPr>
                <w:lang w:val="en-GB"/>
              </w:rPr>
              <w:t>5</w:t>
            </w:r>
          </w:p>
        </w:tc>
        <w:tc>
          <w:tcPr>
            <w:tcW w:w="3930" w:type="dxa"/>
          </w:tcPr>
          <w:p w14:paraId="32323098" w14:textId="2B2C4180" w:rsidR="0007775E" w:rsidRDefault="0007775E" w:rsidP="33905115">
            <w:r w:rsidRPr="33905115">
              <w:rPr>
                <w:lang w:val="en-GB"/>
              </w:rPr>
              <w:t>Turnover &gt;£400 millions</w:t>
            </w:r>
          </w:p>
        </w:tc>
        <w:tc>
          <w:tcPr>
            <w:tcW w:w="1710" w:type="dxa"/>
          </w:tcPr>
          <w:p w14:paraId="165066F2" w14:textId="4D428D14" w:rsidR="0007775E" w:rsidRDefault="0007775E" w:rsidP="33905115">
            <w:r w:rsidRPr="33905115">
              <w:t>3,</w:t>
            </w:r>
            <w:r w:rsidR="00B11CD4">
              <w:t>106</w:t>
            </w:r>
          </w:p>
        </w:tc>
        <w:tc>
          <w:tcPr>
            <w:tcW w:w="1360" w:type="dxa"/>
          </w:tcPr>
          <w:p w14:paraId="174FCD7F" w14:textId="6E825D03" w:rsidR="0007775E" w:rsidRPr="33905115" w:rsidRDefault="008A1E51" w:rsidP="33905115">
            <w:r>
              <w:t>4,356</w:t>
            </w:r>
          </w:p>
        </w:tc>
      </w:tr>
      <w:tr w:rsidR="0007775E" w14:paraId="5A18A99F" w14:textId="018EF15E" w:rsidTr="00CB0E42">
        <w:tc>
          <w:tcPr>
            <w:tcW w:w="1500" w:type="dxa"/>
          </w:tcPr>
          <w:p w14:paraId="54E18A1B" w14:textId="24E8C29A" w:rsidR="0007775E" w:rsidRDefault="0007775E" w:rsidP="33905115">
            <w:pPr>
              <w:rPr>
                <w:lang w:val="en-GB"/>
              </w:rPr>
            </w:pPr>
            <w:r w:rsidRPr="33905115">
              <w:rPr>
                <w:lang w:val="en-GB"/>
              </w:rPr>
              <w:t>4</w:t>
            </w:r>
          </w:p>
        </w:tc>
        <w:tc>
          <w:tcPr>
            <w:tcW w:w="3930" w:type="dxa"/>
          </w:tcPr>
          <w:p w14:paraId="0572F7A6" w14:textId="18DF8943" w:rsidR="0007775E" w:rsidRDefault="0007775E" w:rsidP="33905115">
            <w:r w:rsidRPr="33905115">
              <w:rPr>
                <w:lang w:val="en-GB"/>
              </w:rPr>
              <w:t>Turnover &gt;£200 millions</w:t>
            </w:r>
          </w:p>
        </w:tc>
        <w:tc>
          <w:tcPr>
            <w:tcW w:w="1710" w:type="dxa"/>
          </w:tcPr>
          <w:p w14:paraId="28192B7A" w14:textId="7BF25CCB" w:rsidR="0007775E" w:rsidRDefault="0007775E" w:rsidP="33905115">
            <w:r w:rsidRPr="33905115">
              <w:t>2,</w:t>
            </w:r>
            <w:r w:rsidR="00B11CD4">
              <w:t>902</w:t>
            </w:r>
          </w:p>
        </w:tc>
        <w:tc>
          <w:tcPr>
            <w:tcW w:w="1360" w:type="dxa"/>
          </w:tcPr>
          <w:p w14:paraId="63CE4A42" w14:textId="2ECC1858" w:rsidR="0007775E" w:rsidRPr="33905115" w:rsidRDefault="008A1E51" w:rsidP="33905115">
            <w:r>
              <w:t>3,827</w:t>
            </w:r>
          </w:p>
        </w:tc>
      </w:tr>
      <w:tr w:rsidR="0007775E" w14:paraId="61C3C06A" w14:textId="444A078F" w:rsidTr="00CB0E42">
        <w:tc>
          <w:tcPr>
            <w:tcW w:w="1500" w:type="dxa"/>
          </w:tcPr>
          <w:p w14:paraId="74EF5479" w14:textId="218B6D3E" w:rsidR="0007775E" w:rsidRDefault="0007775E" w:rsidP="33905115">
            <w:pPr>
              <w:rPr>
                <w:lang w:val="en-GB"/>
              </w:rPr>
            </w:pPr>
            <w:r w:rsidRPr="33905115">
              <w:rPr>
                <w:lang w:val="en-GB"/>
              </w:rPr>
              <w:t>3</w:t>
            </w:r>
          </w:p>
        </w:tc>
        <w:tc>
          <w:tcPr>
            <w:tcW w:w="3930" w:type="dxa"/>
          </w:tcPr>
          <w:p w14:paraId="7E987F80" w14:textId="50FB4461" w:rsidR="0007775E" w:rsidRDefault="0007775E" w:rsidP="33905115">
            <w:r w:rsidRPr="33905115">
              <w:rPr>
                <w:lang w:val="en-GB"/>
              </w:rPr>
              <w:t>Turnover &gt;£100 millions</w:t>
            </w:r>
          </w:p>
        </w:tc>
        <w:tc>
          <w:tcPr>
            <w:tcW w:w="1710" w:type="dxa"/>
          </w:tcPr>
          <w:p w14:paraId="66A19986" w14:textId="66EF83B3" w:rsidR="0007775E" w:rsidRDefault="0007775E" w:rsidP="33905115">
            <w:r w:rsidRPr="33905115">
              <w:t>2,</w:t>
            </w:r>
            <w:r w:rsidR="00B11CD4">
              <w:t>703</w:t>
            </w:r>
          </w:p>
        </w:tc>
        <w:tc>
          <w:tcPr>
            <w:tcW w:w="1360" w:type="dxa"/>
          </w:tcPr>
          <w:p w14:paraId="6710C094" w14:textId="4F8C7477" w:rsidR="0007775E" w:rsidRPr="33905115" w:rsidRDefault="008A1E51" w:rsidP="33905115">
            <w:r>
              <w:t>3,578</w:t>
            </w:r>
          </w:p>
        </w:tc>
      </w:tr>
      <w:tr w:rsidR="0007775E" w14:paraId="4F66006A" w14:textId="113D0847" w:rsidTr="00CB0E42">
        <w:tc>
          <w:tcPr>
            <w:tcW w:w="1500" w:type="dxa"/>
          </w:tcPr>
          <w:p w14:paraId="51D5CDFB" w14:textId="79654D70" w:rsidR="0007775E" w:rsidRDefault="0007775E" w:rsidP="33905115">
            <w:pPr>
              <w:rPr>
                <w:lang w:val="en-GB"/>
              </w:rPr>
            </w:pPr>
            <w:r w:rsidRPr="33905115">
              <w:rPr>
                <w:lang w:val="en-GB"/>
              </w:rPr>
              <w:t>2</w:t>
            </w:r>
          </w:p>
        </w:tc>
        <w:tc>
          <w:tcPr>
            <w:tcW w:w="3930" w:type="dxa"/>
          </w:tcPr>
          <w:p w14:paraId="1CF16742" w14:textId="1834051A" w:rsidR="0007775E" w:rsidRDefault="0007775E" w:rsidP="33905115">
            <w:r w:rsidRPr="33905115">
              <w:rPr>
                <w:lang w:val="en-GB"/>
              </w:rPr>
              <w:t xml:space="preserve">Turnover &gt; £20 </w:t>
            </w:r>
            <w:proofErr w:type="spellStart"/>
            <w:r w:rsidRPr="33905115">
              <w:rPr>
                <w:lang w:val="en-GB"/>
              </w:rPr>
              <w:t>millions</w:t>
            </w:r>
            <w:proofErr w:type="spellEnd"/>
            <w:r w:rsidRPr="33905115">
              <w:rPr>
                <w:lang w:val="en-GB"/>
              </w:rPr>
              <w:t xml:space="preserve"> &lt; £100 millions</w:t>
            </w:r>
          </w:p>
        </w:tc>
        <w:tc>
          <w:tcPr>
            <w:tcW w:w="1710" w:type="dxa"/>
          </w:tcPr>
          <w:p w14:paraId="57B8F573" w14:textId="764F41C5" w:rsidR="0007775E" w:rsidRDefault="0007775E" w:rsidP="33905115">
            <w:r w:rsidRPr="33905115">
              <w:t>2,</w:t>
            </w:r>
            <w:r w:rsidR="00B11CD4">
              <w:t>382</w:t>
            </w:r>
          </w:p>
        </w:tc>
        <w:tc>
          <w:tcPr>
            <w:tcW w:w="1360" w:type="dxa"/>
          </w:tcPr>
          <w:p w14:paraId="6D733CF2" w14:textId="2DF2FEF3" w:rsidR="0007775E" w:rsidRPr="33905115" w:rsidRDefault="008A1E51" w:rsidP="33905115">
            <w:r>
              <w:t>3,157</w:t>
            </w:r>
          </w:p>
        </w:tc>
      </w:tr>
      <w:tr w:rsidR="0007775E" w14:paraId="37C7276D" w14:textId="7E7F899B" w:rsidTr="00CB0E42">
        <w:tc>
          <w:tcPr>
            <w:tcW w:w="1500" w:type="dxa"/>
          </w:tcPr>
          <w:p w14:paraId="38D348F5" w14:textId="7AC84830" w:rsidR="0007775E" w:rsidRDefault="0007775E" w:rsidP="33905115">
            <w:pPr>
              <w:rPr>
                <w:lang w:val="en-GB"/>
              </w:rPr>
            </w:pPr>
            <w:r w:rsidRPr="33905115">
              <w:rPr>
                <w:lang w:val="en-GB"/>
              </w:rPr>
              <w:t>1</w:t>
            </w:r>
          </w:p>
        </w:tc>
        <w:tc>
          <w:tcPr>
            <w:tcW w:w="3930" w:type="dxa"/>
          </w:tcPr>
          <w:p w14:paraId="3D117D37" w14:textId="75CA770A" w:rsidR="0007775E" w:rsidRDefault="0007775E" w:rsidP="33905115">
            <w:r w:rsidRPr="33905115">
              <w:rPr>
                <w:lang w:val="en-GB"/>
              </w:rPr>
              <w:t>Turnover &lt; £20 millions</w:t>
            </w:r>
          </w:p>
        </w:tc>
        <w:tc>
          <w:tcPr>
            <w:tcW w:w="1710" w:type="dxa"/>
          </w:tcPr>
          <w:p w14:paraId="40821604" w14:textId="3AAE211E" w:rsidR="0007775E" w:rsidRDefault="0007775E" w:rsidP="33905115">
            <w:r w:rsidRPr="33905115">
              <w:t>1,5</w:t>
            </w:r>
            <w:r w:rsidR="00B11CD4">
              <w:t>61</w:t>
            </w:r>
          </w:p>
        </w:tc>
        <w:tc>
          <w:tcPr>
            <w:tcW w:w="1360" w:type="dxa"/>
          </w:tcPr>
          <w:p w14:paraId="7DCEEE59" w14:textId="3883D5EB" w:rsidR="0007775E" w:rsidRPr="33905115" w:rsidRDefault="008A1E51" w:rsidP="33905115">
            <w:r>
              <w:t>2,056</w:t>
            </w:r>
          </w:p>
        </w:tc>
      </w:tr>
    </w:tbl>
    <w:p w14:paraId="47E53219" w14:textId="22F5A230" w:rsidR="27609CF5" w:rsidRDefault="27609CF5" w:rsidP="33905115">
      <w:pPr>
        <w:rPr>
          <w:lang w:val="en-GB"/>
        </w:rPr>
      </w:pPr>
    </w:p>
    <w:p w14:paraId="1A262B80" w14:textId="7BB7EDA0" w:rsidR="27609CF5" w:rsidRDefault="33905115" w:rsidP="33905115">
      <w:r w:rsidRPr="33905115">
        <w:t xml:space="preserve">Membership fees for each financial year (Aug-Jul) are proposed by the Executive Committee and discussed and approved at the AGM at the Annual Conference in the preceding Spring. The fees are set according to the longer-term strategy of the </w:t>
      </w:r>
      <w:r w:rsidR="00403817">
        <w:t>organization, which</w:t>
      </w:r>
      <w:r w:rsidRPr="33905115">
        <w:t xml:space="preserve"> consid</w:t>
      </w:r>
      <w:r w:rsidR="00403817">
        <w:t>ers</w:t>
      </w:r>
      <w:r w:rsidRPr="33905115">
        <w:t xml:space="preserve"> any shorter-term projects as well as the financial operation requirements of PHES. </w:t>
      </w:r>
    </w:p>
    <w:p w14:paraId="2E6F1DE9" w14:textId="23A3BD7B" w:rsidR="33905115" w:rsidRDefault="33905115" w:rsidP="33905115">
      <w:r w:rsidRPr="33905115">
        <w:t xml:space="preserve">If you have any questions about any of the above, please contact Matt Sisson (Head of Membership, </w:t>
      </w:r>
      <w:hyperlink r:id="rId10">
        <w:r w:rsidRPr="33905115">
          <w:rPr>
            <w:rStyle w:val="Hyperlink"/>
          </w:rPr>
          <w:t>matt@bufdg.ac.uk</w:t>
        </w:r>
      </w:hyperlink>
      <w:r w:rsidRPr="33905115">
        <w:t xml:space="preserve">) or Karel Thomas (Executive Director, </w:t>
      </w:r>
      <w:hyperlink r:id="rId11">
        <w:r w:rsidRPr="33905115">
          <w:rPr>
            <w:rStyle w:val="Hyperlink"/>
          </w:rPr>
          <w:t>karel@bufdg.ac.uk</w:t>
        </w:r>
      </w:hyperlink>
      <w:r w:rsidRPr="33905115">
        <w:t>).</w:t>
      </w:r>
    </w:p>
    <w:p w14:paraId="2DEC3EA5" w14:textId="5C71EEC2" w:rsidR="33905115" w:rsidRDefault="33905115" w:rsidP="33905115"/>
    <w:sectPr w:rsidR="3390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3A09"/>
    <w:multiLevelType w:val="hybridMultilevel"/>
    <w:tmpl w:val="6818BE9A"/>
    <w:lvl w:ilvl="0" w:tplc="CA26C47C">
      <w:start w:val="1"/>
      <w:numFmt w:val="decimal"/>
      <w:lvlText w:val="%1."/>
      <w:lvlJc w:val="left"/>
      <w:pPr>
        <w:ind w:left="720" w:hanging="360"/>
      </w:pPr>
    </w:lvl>
    <w:lvl w:ilvl="1" w:tplc="6A84ACA0">
      <w:start w:val="1"/>
      <w:numFmt w:val="lowerLetter"/>
      <w:lvlText w:val="%2."/>
      <w:lvlJc w:val="left"/>
      <w:pPr>
        <w:ind w:left="1440" w:hanging="360"/>
      </w:pPr>
    </w:lvl>
    <w:lvl w:ilvl="2" w:tplc="0308C1BC">
      <w:start w:val="1"/>
      <w:numFmt w:val="lowerRoman"/>
      <w:lvlText w:val="%3."/>
      <w:lvlJc w:val="right"/>
      <w:pPr>
        <w:ind w:left="2160" w:hanging="180"/>
      </w:pPr>
    </w:lvl>
    <w:lvl w:ilvl="3" w:tplc="DD64EAA6">
      <w:start w:val="1"/>
      <w:numFmt w:val="decimal"/>
      <w:lvlText w:val="%4."/>
      <w:lvlJc w:val="left"/>
      <w:pPr>
        <w:ind w:left="2880" w:hanging="360"/>
      </w:pPr>
    </w:lvl>
    <w:lvl w:ilvl="4" w:tplc="6B5639C6">
      <w:start w:val="1"/>
      <w:numFmt w:val="lowerLetter"/>
      <w:lvlText w:val="%5."/>
      <w:lvlJc w:val="left"/>
      <w:pPr>
        <w:ind w:left="3600" w:hanging="360"/>
      </w:pPr>
    </w:lvl>
    <w:lvl w:ilvl="5" w:tplc="F328E1A2">
      <w:start w:val="1"/>
      <w:numFmt w:val="lowerRoman"/>
      <w:lvlText w:val="%6."/>
      <w:lvlJc w:val="right"/>
      <w:pPr>
        <w:ind w:left="4320" w:hanging="180"/>
      </w:pPr>
    </w:lvl>
    <w:lvl w:ilvl="6" w:tplc="872ADB7A">
      <w:start w:val="1"/>
      <w:numFmt w:val="decimal"/>
      <w:lvlText w:val="%7."/>
      <w:lvlJc w:val="left"/>
      <w:pPr>
        <w:ind w:left="5040" w:hanging="360"/>
      </w:pPr>
    </w:lvl>
    <w:lvl w:ilvl="7" w:tplc="5FA01B7C">
      <w:start w:val="1"/>
      <w:numFmt w:val="lowerLetter"/>
      <w:lvlText w:val="%8."/>
      <w:lvlJc w:val="left"/>
      <w:pPr>
        <w:ind w:left="5760" w:hanging="360"/>
      </w:pPr>
    </w:lvl>
    <w:lvl w:ilvl="8" w:tplc="D15C5CC8">
      <w:start w:val="1"/>
      <w:numFmt w:val="lowerRoman"/>
      <w:lvlText w:val="%9."/>
      <w:lvlJc w:val="right"/>
      <w:pPr>
        <w:ind w:left="6480" w:hanging="180"/>
      </w:pPr>
    </w:lvl>
  </w:abstractNum>
  <w:abstractNum w:abstractNumId="1" w15:restartNumberingAfterBreak="0">
    <w:nsid w:val="2D567E65"/>
    <w:multiLevelType w:val="hybridMultilevel"/>
    <w:tmpl w:val="5C70A374"/>
    <w:lvl w:ilvl="0" w:tplc="0804EC9C">
      <w:start w:val="1"/>
      <w:numFmt w:val="bullet"/>
      <w:lvlText w:val=""/>
      <w:lvlJc w:val="left"/>
      <w:pPr>
        <w:ind w:left="720" w:hanging="360"/>
      </w:pPr>
      <w:rPr>
        <w:rFonts w:ascii="Symbol" w:hAnsi="Symbol" w:hint="default"/>
      </w:rPr>
    </w:lvl>
    <w:lvl w:ilvl="1" w:tplc="B19E7CD6">
      <w:start w:val="1"/>
      <w:numFmt w:val="bullet"/>
      <w:lvlText w:val="o"/>
      <w:lvlJc w:val="left"/>
      <w:pPr>
        <w:ind w:left="1440" w:hanging="360"/>
      </w:pPr>
      <w:rPr>
        <w:rFonts w:ascii="Courier New" w:hAnsi="Courier New" w:hint="default"/>
      </w:rPr>
    </w:lvl>
    <w:lvl w:ilvl="2" w:tplc="889429F0">
      <w:start w:val="1"/>
      <w:numFmt w:val="bullet"/>
      <w:lvlText w:val=""/>
      <w:lvlJc w:val="left"/>
      <w:pPr>
        <w:ind w:left="2160" w:hanging="360"/>
      </w:pPr>
      <w:rPr>
        <w:rFonts w:ascii="Wingdings" w:hAnsi="Wingdings" w:hint="default"/>
      </w:rPr>
    </w:lvl>
    <w:lvl w:ilvl="3" w:tplc="6AC223CE">
      <w:start w:val="1"/>
      <w:numFmt w:val="bullet"/>
      <w:lvlText w:val=""/>
      <w:lvlJc w:val="left"/>
      <w:pPr>
        <w:ind w:left="2880" w:hanging="360"/>
      </w:pPr>
      <w:rPr>
        <w:rFonts w:ascii="Symbol" w:hAnsi="Symbol" w:hint="default"/>
      </w:rPr>
    </w:lvl>
    <w:lvl w:ilvl="4" w:tplc="E3B07F0A">
      <w:start w:val="1"/>
      <w:numFmt w:val="bullet"/>
      <w:lvlText w:val="o"/>
      <w:lvlJc w:val="left"/>
      <w:pPr>
        <w:ind w:left="3600" w:hanging="360"/>
      </w:pPr>
      <w:rPr>
        <w:rFonts w:ascii="Courier New" w:hAnsi="Courier New" w:hint="default"/>
      </w:rPr>
    </w:lvl>
    <w:lvl w:ilvl="5" w:tplc="0A6AE2A4">
      <w:start w:val="1"/>
      <w:numFmt w:val="bullet"/>
      <w:lvlText w:val=""/>
      <w:lvlJc w:val="left"/>
      <w:pPr>
        <w:ind w:left="4320" w:hanging="360"/>
      </w:pPr>
      <w:rPr>
        <w:rFonts w:ascii="Wingdings" w:hAnsi="Wingdings" w:hint="default"/>
      </w:rPr>
    </w:lvl>
    <w:lvl w:ilvl="6" w:tplc="4BDCC4CC">
      <w:start w:val="1"/>
      <w:numFmt w:val="bullet"/>
      <w:lvlText w:val=""/>
      <w:lvlJc w:val="left"/>
      <w:pPr>
        <w:ind w:left="5040" w:hanging="360"/>
      </w:pPr>
      <w:rPr>
        <w:rFonts w:ascii="Symbol" w:hAnsi="Symbol" w:hint="default"/>
      </w:rPr>
    </w:lvl>
    <w:lvl w:ilvl="7" w:tplc="6E983EAE">
      <w:start w:val="1"/>
      <w:numFmt w:val="bullet"/>
      <w:lvlText w:val="o"/>
      <w:lvlJc w:val="left"/>
      <w:pPr>
        <w:ind w:left="5760" w:hanging="360"/>
      </w:pPr>
      <w:rPr>
        <w:rFonts w:ascii="Courier New" w:hAnsi="Courier New" w:hint="default"/>
      </w:rPr>
    </w:lvl>
    <w:lvl w:ilvl="8" w:tplc="087A9672">
      <w:start w:val="1"/>
      <w:numFmt w:val="bullet"/>
      <w:lvlText w:val=""/>
      <w:lvlJc w:val="left"/>
      <w:pPr>
        <w:ind w:left="6480" w:hanging="360"/>
      </w:pPr>
      <w:rPr>
        <w:rFonts w:ascii="Wingdings" w:hAnsi="Wingdings" w:hint="default"/>
      </w:rPr>
    </w:lvl>
  </w:abstractNum>
  <w:abstractNum w:abstractNumId="2" w15:restartNumberingAfterBreak="0">
    <w:nsid w:val="59A1436C"/>
    <w:multiLevelType w:val="hybridMultilevel"/>
    <w:tmpl w:val="9920D7FC"/>
    <w:lvl w:ilvl="0" w:tplc="853EFEF6">
      <w:start w:val="1"/>
      <w:numFmt w:val="bullet"/>
      <w:lvlText w:val=""/>
      <w:lvlJc w:val="left"/>
      <w:pPr>
        <w:ind w:left="720" w:hanging="360"/>
      </w:pPr>
      <w:rPr>
        <w:rFonts w:ascii="Symbol" w:hAnsi="Symbol" w:hint="default"/>
      </w:rPr>
    </w:lvl>
    <w:lvl w:ilvl="1" w:tplc="ED0475EC">
      <w:start w:val="1"/>
      <w:numFmt w:val="bullet"/>
      <w:lvlText w:val="o"/>
      <w:lvlJc w:val="left"/>
      <w:pPr>
        <w:ind w:left="1440" w:hanging="360"/>
      </w:pPr>
      <w:rPr>
        <w:rFonts w:ascii="Courier New" w:hAnsi="Courier New" w:hint="default"/>
      </w:rPr>
    </w:lvl>
    <w:lvl w:ilvl="2" w:tplc="810E8F68">
      <w:start w:val="1"/>
      <w:numFmt w:val="bullet"/>
      <w:lvlText w:val=""/>
      <w:lvlJc w:val="left"/>
      <w:pPr>
        <w:ind w:left="2160" w:hanging="360"/>
      </w:pPr>
      <w:rPr>
        <w:rFonts w:ascii="Wingdings" w:hAnsi="Wingdings" w:hint="default"/>
      </w:rPr>
    </w:lvl>
    <w:lvl w:ilvl="3" w:tplc="29CE08AC">
      <w:start w:val="1"/>
      <w:numFmt w:val="bullet"/>
      <w:lvlText w:val=""/>
      <w:lvlJc w:val="left"/>
      <w:pPr>
        <w:ind w:left="2880" w:hanging="360"/>
      </w:pPr>
      <w:rPr>
        <w:rFonts w:ascii="Symbol" w:hAnsi="Symbol" w:hint="default"/>
      </w:rPr>
    </w:lvl>
    <w:lvl w:ilvl="4" w:tplc="0F823AF8">
      <w:start w:val="1"/>
      <w:numFmt w:val="bullet"/>
      <w:lvlText w:val="o"/>
      <w:lvlJc w:val="left"/>
      <w:pPr>
        <w:ind w:left="3600" w:hanging="360"/>
      </w:pPr>
      <w:rPr>
        <w:rFonts w:ascii="Courier New" w:hAnsi="Courier New" w:hint="default"/>
      </w:rPr>
    </w:lvl>
    <w:lvl w:ilvl="5" w:tplc="976A6414">
      <w:start w:val="1"/>
      <w:numFmt w:val="bullet"/>
      <w:lvlText w:val=""/>
      <w:lvlJc w:val="left"/>
      <w:pPr>
        <w:ind w:left="4320" w:hanging="360"/>
      </w:pPr>
      <w:rPr>
        <w:rFonts w:ascii="Wingdings" w:hAnsi="Wingdings" w:hint="default"/>
      </w:rPr>
    </w:lvl>
    <w:lvl w:ilvl="6" w:tplc="E4BCA9C4">
      <w:start w:val="1"/>
      <w:numFmt w:val="bullet"/>
      <w:lvlText w:val=""/>
      <w:lvlJc w:val="left"/>
      <w:pPr>
        <w:ind w:left="5040" w:hanging="360"/>
      </w:pPr>
      <w:rPr>
        <w:rFonts w:ascii="Symbol" w:hAnsi="Symbol" w:hint="default"/>
      </w:rPr>
    </w:lvl>
    <w:lvl w:ilvl="7" w:tplc="4732DE12">
      <w:start w:val="1"/>
      <w:numFmt w:val="bullet"/>
      <w:lvlText w:val="o"/>
      <w:lvlJc w:val="left"/>
      <w:pPr>
        <w:ind w:left="5760" w:hanging="360"/>
      </w:pPr>
      <w:rPr>
        <w:rFonts w:ascii="Courier New" w:hAnsi="Courier New" w:hint="default"/>
      </w:rPr>
    </w:lvl>
    <w:lvl w:ilvl="8" w:tplc="ED52F17A">
      <w:start w:val="1"/>
      <w:numFmt w:val="bullet"/>
      <w:lvlText w:val=""/>
      <w:lvlJc w:val="left"/>
      <w:pPr>
        <w:ind w:left="6480" w:hanging="360"/>
      </w:pPr>
      <w:rPr>
        <w:rFonts w:ascii="Wingdings" w:hAnsi="Wingdings" w:hint="default"/>
      </w:rPr>
    </w:lvl>
  </w:abstractNum>
  <w:abstractNum w:abstractNumId="3" w15:restartNumberingAfterBreak="0">
    <w:nsid w:val="64887699"/>
    <w:multiLevelType w:val="hybridMultilevel"/>
    <w:tmpl w:val="572A60D2"/>
    <w:lvl w:ilvl="0" w:tplc="E6FE322C">
      <w:start w:val="1"/>
      <w:numFmt w:val="lowerLetter"/>
      <w:lvlText w:val="(%1)"/>
      <w:lvlJc w:val="left"/>
      <w:pPr>
        <w:ind w:left="720" w:hanging="360"/>
      </w:pPr>
    </w:lvl>
    <w:lvl w:ilvl="1" w:tplc="4D9E0D8C">
      <w:start w:val="1"/>
      <w:numFmt w:val="lowerLetter"/>
      <w:lvlText w:val="%2."/>
      <w:lvlJc w:val="left"/>
      <w:pPr>
        <w:ind w:left="1440" w:hanging="360"/>
      </w:pPr>
    </w:lvl>
    <w:lvl w:ilvl="2" w:tplc="EEC6AAF4">
      <w:start w:val="1"/>
      <w:numFmt w:val="lowerRoman"/>
      <w:lvlText w:val="%3."/>
      <w:lvlJc w:val="right"/>
      <w:pPr>
        <w:ind w:left="2160" w:hanging="180"/>
      </w:pPr>
    </w:lvl>
    <w:lvl w:ilvl="3" w:tplc="D8165928">
      <w:start w:val="1"/>
      <w:numFmt w:val="decimal"/>
      <w:lvlText w:val="%4."/>
      <w:lvlJc w:val="left"/>
      <w:pPr>
        <w:ind w:left="2880" w:hanging="360"/>
      </w:pPr>
    </w:lvl>
    <w:lvl w:ilvl="4" w:tplc="EABE08CC">
      <w:start w:val="1"/>
      <w:numFmt w:val="lowerLetter"/>
      <w:lvlText w:val="%5."/>
      <w:lvlJc w:val="left"/>
      <w:pPr>
        <w:ind w:left="3600" w:hanging="360"/>
      </w:pPr>
    </w:lvl>
    <w:lvl w:ilvl="5" w:tplc="FE5CD448">
      <w:start w:val="1"/>
      <w:numFmt w:val="lowerRoman"/>
      <w:lvlText w:val="%6."/>
      <w:lvlJc w:val="right"/>
      <w:pPr>
        <w:ind w:left="4320" w:hanging="180"/>
      </w:pPr>
    </w:lvl>
    <w:lvl w:ilvl="6" w:tplc="65B42824">
      <w:start w:val="1"/>
      <w:numFmt w:val="decimal"/>
      <w:lvlText w:val="%7."/>
      <w:lvlJc w:val="left"/>
      <w:pPr>
        <w:ind w:left="5040" w:hanging="360"/>
      </w:pPr>
    </w:lvl>
    <w:lvl w:ilvl="7" w:tplc="2F924574">
      <w:start w:val="1"/>
      <w:numFmt w:val="lowerLetter"/>
      <w:lvlText w:val="%8."/>
      <w:lvlJc w:val="left"/>
      <w:pPr>
        <w:ind w:left="5760" w:hanging="360"/>
      </w:pPr>
    </w:lvl>
    <w:lvl w:ilvl="8" w:tplc="E822E2A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AAD413"/>
    <w:rsid w:val="0007775E"/>
    <w:rsid w:val="00166C37"/>
    <w:rsid w:val="002900F9"/>
    <w:rsid w:val="00403817"/>
    <w:rsid w:val="00544316"/>
    <w:rsid w:val="006C34EC"/>
    <w:rsid w:val="007764C3"/>
    <w:rsid w:val="008A1E51"/>
    <w:rsid w:val="00973351"/>
    <w:rsid w:val="00A46424"/>
    <w:rsid w:val="00B11CD4"/>
    <w:rsid w:val="00C7388F"/>
    <w:rsid w:val="00CB0E42"/>
    <w:rsid w:val="00DF02C2"/>
    <w:rsid w:val="00E91802"/>
    <w:rsid w:val="00FE5F0E"/>
    <w:rsid w:val="27609CF5"/>
    <w:rsid w:val="27AAD413"/>
    <w:rsid w:val="33905115"/>
    <w:rsid w:val="70C0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D413"/>
  <w15:chartTrackingRefBased/>
  <w15:docId w15:val="{9B1557FF-4B0D-4128-919E-8156BE17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4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l@bufdg.ac.uk" TargetMode="External"/><Relationship Id="rId5" Type="http://schemas.openxmlformats.org/officeDocument/2006/relationships/styles" Target="styles.xml"/><Relationship Id="rId10" Type="http://schemas.openxmlformats.org/officeDocument/2006/relationships/hyperlink" Target="mailto:matt@bufdg.ac.uk" TargetMode="External"/><Relationship Id="rId4" Type="http://schemas.openxmlformats.org/officeDocument/2006/relationships/numbering" Target="numbering.xml"/><Relationship Id="rId9" Type="http://schemas.openxmlformats.org/officeDocument/2006/relationships/hyperlink" Target="https://www.bufdg.ac.uk/about/about-buf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993746B804F428D775981A571611B" ma:contentTypeVersion="8" ma:contentTypeDescription="Create a new document." ma:contentTypeScope="" ma:versionID="51c7f9f849304f478c6a7bb8c5f5c99a">
  <xsd:schema xmlns:xsd="http://www.w3.org/2001/XMLSchema" xmlns:xs="http://www.w3.org/2001/XMLSchema" xmlns:p="http://schemas.microsoft.com/office/2006/metadata/properties" xmlns:ns2="b21d22bc-88de-4562-9ce5-75ecb38356a1" xmlns:ns3="3846b46e-6855-45f4-99c4-bbbbaeb658d1" targetNamespace="http://schemas.microsoft.com/office/2006/metadata/properties" ma:root="true" ma:fieldsID="b8457fec5e98f37641fc70ca1032de0e" ns2:_="" ns3:_="">
    <xsd:import namespace="b21d22bc-88de-4562-9ce5-75ecb38356a1"/>
    <xsd:import namespace="3846b46e-6855-45f4-99c4-bbbbaeb65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d22bc-88de-4562-9ce5-75ecb3835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6b46e-6855-45f4-99c4-bbbbaeb658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7BF04-F3A9-4C37-94E4-AB2BA4C41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d22bc-88de-4562-9ce5-75ecb38356a1"/>
    <ds:schemaRef ds:uri="3846b46e-6855-45f4-99c4-bbbbaeb6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C446B-EC47-480D-AFFA-1B3462546023}">
  <ds:schemaRefs>
    <ds:schemaRef ds:uri="http://schemas.microsoft.com/sharepoint/v3/contenttype/forms"/>
  </ds:schemaRefs>
</ds:datastoreItem>
</file>

<file path=customXml/itemProps3.xml><?xml version="1.0" encoding="utf-8"?>
<ds:datastoreItem xmlns:ds="http://schemas.openxmlformats.org/officeDocument/2006/customXml" ds:itemID="{DDE4BCD4-64D8-4ED5-ACEF-96F94F502C67}">
  <ds:schemaRefs>
    <ds:schemaRef ds:uri="http://schemas.microsoft.com/office/2006/metadata/properties"/>
    <ds:schemaRef ds:uri="b21d22bc-88de-4562-9ce5-75ecb38356a1"/>
    <ds:schemaRef ds:uri="http://schemas.microsoft.com/office/infopath/2007/PartnerControls"/>
    <ds:schemaRef ds:uri="http://purl.org/dc/dcmitype/"/>
    <ds:schemaRef ds:uri="http://www.w3.org/XML/1998/namespace"/>
    <ds:schemaRef ds:uri="3846b46e-6855-45f4-99c4-bbbbaeb658d1"/>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Sisson</dc:creator>
  <cp:keywords/>
  <dc:description/>
  <cp:lastModifiedBy>Matt Sisson</cp:lastModifiedBy>
  <cp:revision>2</cp:revision>
  <dcterms:created xsi:type="dcterms:W3CDTF">2019-06-13T14:08:00Z</dcterms:created>
  <dcterms:modified xsi:type="dcterms:W3CDTF">2019-06-13T14:08:00Z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0x010100AB1993746B804F428D775981A571611B</vt:lpwstr>
  </property>
</Properties>
</file>